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AI DEN-MAB LLC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4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Hemab Therapeutics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COAG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ACCESS INDUSTRIES,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40 WEST 57TH STREET, 28TH</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FLOOR</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10019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1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9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6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4,876,344</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(1)</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380" w:type="dxa"/>
            <w:vAlign w:val="bottom"/>
            <w:gridSpan w:val="8"/>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62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4"/>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AI DEN-MAB LLC</w:t>
              </w:r>
            </w:hyperlink>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660" w:type="dxa"/>
            <w:vAlign w:val="bottom"/>
            <w:tcBorders>
              <w:top w:val="single" w:sz="8" w:color="0000EE"/>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C/O ACCESS INDUSTRIES, INC.</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40 WEST 57TH STREET, 28TH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10019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4"/>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AI Biotechnology LLC</w:t>
              </w:r>
            </w:hyperlink>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66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C/O ACCESS INDUSTRIES, INC.</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40 WEST 57TH STREET, 28TH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10019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6187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6187440"/>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Access Industries Holdings LLC</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100" w:type="dxa"/>
            <w:vAlign w:val="bottom"/>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C/O ACCESS INDUSTRIES, INC.</w:t>
            </w: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40 WEST 57TH STREET, 28TH FLOOR</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03"/>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10019</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ACCESS INDUSTRIES</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MANAGEMENT, LLC</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(Last)</w:t>
            </w:r>
          </w:p>
        </w:tc>
        <w:tc>
          <w:tcPr>
            <w:tcW w:w="940" w:type="dxa"/>
            <w:vAlign w:val="bottom"/>
          </w:tcPr>
          <w:p>
            <w:pPr>
              <w:ind w:left="2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 ACCESS INDUSTRIES, INC.</w:t>
            </w: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40 WEST 57TH STREET, 28TH FLOOR</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4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10019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(City)</w:t>
            </w:r>
          </w:p>
        </w:tc>
        <w:tc>
          <w:tcPr>
            <w:tcW w:w="940" w:type="dxa"/>
            <w:vAlign w:val="bottom"/>
          </w:tcPr>
          <w:p>
            <w:pPr>
              <w:ind w:left="2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6"/>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tcBorders>
              <w:bottom w:val="single" w:sz="8" w:color="0000EE"/>
            </w:tcBorders>
          </w:tcPr>
          <w:p>
            <w:pPr>
              <w:spacing w:after="0" w:line="255" w:lineRule="exact"/>
              <w:rPr>
                <w:rFonts w:ascii="Times New Roman" w:cs="Times New Roman" w:eastAsia="Times New Roman" w:hAnsi="Times New Roman"/>
                <w:sz w:val="24"/>
                <w:szCs w:val="24"/>
                <w:color w:val="0000EE"/>
                <w:w w:val="98"/>
              </w:rPr>
            </w:pPr>
            <w:hyperlink r:id="rId17">
              <w:r>
                <w:rPr>
                  <w:rFonts w:ascii="Times New Roman" w:cs="Times New Roman" w:eastAsia="Times New Roman" w:hAnsi="Times New Roman"/>
                  <w:sz w:val="24"/>
                  <w:szCs w:val="24"/>
                  <w:color w:val="0000EE"/>
                  <w:w w:val="98"/>
                </w:rPr>
                <w:t>Blavatnik Len</w:t>
              </w:r>
            </w:hyperlink>
          </w:p>
        </w:tc>
        <w:tc>
          <w:tcPr>
            <w:tcW w:w="9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(Last)</w:t>
            </w:r>
          </w:p>
        </w:tc>
        <w:tc>
          <w:tcPr>
            <w:tcW w:w="940" w:type="dxa"/>
            <w:vAlign w:val="bottom"/>
          </w:tcPr>
          <w:p>
            <w:pPr>
              <w:ind w:left="2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 ACCESS INDUSTRIES, INC.</w:t>
            </w: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40 WEST 57TH STREET, 28TH FLOOR</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4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10019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(City)</w:t>
            </w:r>
          </w:p>
        </w:tc>
        <w:tc>
          <w:tcPr>
            <w:tcW w:w="940" w:type="dxa"/>
            <w:vAlign w:val="bottom"/>
          </w:tcPr>
          <w:p>
            <w:pPr>
              <w:ind w:left="2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40" w:firstLine="5"/>
        <w:spacing w:after="0" w:line="237"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securities reported are held directly by AI DEN-MAB LLC ("AI DMAB") and may be deemed to be beneficially owned by AI Biotechnology LLC ("AIB"), Access Industries Holdings LLC ("AIH"), Access Industries Management, LLC ("AIM") and Len Blavatnik because (i) Mr. Blavatnik controls AIM and AIH, (ii) AIM controls AIH and AIB, (iii) AIH owns all of the voting units of AIB, and (iv) AIB owns all of the voting units of AI DMAB. Each of AIH, AIB, AIM and Mr. Blavatnik, and each of their affiliated entities and the officers, partners, members and managers thereof, disclaims beneficial ownership of these securities, except to the extent of its or his pecuniary interest therein, and this form shall not be construed as an admission that any such reporting person is the beneficial owner of any of the securities reported on this form.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Ex-24 - Power of Attorney</w:t>
      </w:r>
    </w:p>
    <w:p>
      <w:pPr>
        <w:sectPr>
          <w:pgSz w:w="11900" w:h="16854" w:orient="portrait"/>
          <w:cols w:equalWidth="0" w:num="1">
            <w:col w:w="10840"/>
          </w:cols>
          <w:pgMar w:left="500" w:top="118" w:right="559" w:bottom="0" w:gutter="0" w:footer="0" w:header="0"/>
        </w:sectPr>
      </w:pPr>
    </w:p>
    <w:p>
      <w:pPr>
        <w:spacing w:after="0" w:line="8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/s/ Alejandro Moreno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24206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AI DEN-MAB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045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004570"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/s/ Alejandro Moreno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24206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AI Biotechnology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5633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5633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/s/ Alejandro Moreno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24206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Access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7058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7058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71945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945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/s/ Alejandro Moreno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24206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Access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7058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7058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4234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942340"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/s/ Alejandro Moreno,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23190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3190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Attorney-in-Fact for 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1412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1412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Blavatnik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8133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48133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26" w:lineRule="exact"/>
        <w:rPr>
          <w:sz w:val="20"/>
          <w:szCs w:val="20"/>
          <w:color w:val="auto"/>
        </w:rPr>
      </w:pPr>
    </w:p>
    <w:p>
      <w:pPr>
        <w:sectPr>
          <w:pgSz w:w="11900" w:h="16854" w:orient="portrait"/>
          <w:cols w:equalWidth="0" w:num="2">
            <w:col w:w="8500" w:space="240"/>
            <w:col w:w="2100"/>
          </w:cols>
          <w:pgMar w:left="500" w:top="118" w:right="559" w:bottom="0"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160" w:firstLine="5"/>
        <w:spacing w:after="0" w:line="335" w:lineRule="auto"/>
        <w:tabs>
          <w:tab w:leader="none" w:pos="17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54" w:orient="portrait"/>
          <w:cols w:equalWidth="0" w:num="1">
            <w:col w:w="10840"/>
          </w:cols>
          <w:pgMar w:left="500" w:top="118" w:right="559" w:bottom="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LIMITED POWER OF ATTORNEY</w:t>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Lincoln Benet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Alejandro Moreno, and each of them individually, the undersigned’s true and lawful attorney-in-fact to:</w:t>
      </w:r>
    </w:p>
    <w:p>
      <w:pPr>
        <w:spacing w:after="0" w:line="208" w:lineRule="exact"/>
        <w:rPr>
          <w:sz w:val="20"/>
          <w:szCs w:val="20"/>
          <w:color w:val="auto"/>
        </w:rPr>
      </w:pPr>
    </w:p>
    <w:p>
      <w:pPr>
        <w:ind w:left="720" w:hanging="720"/>
        <w:spacing w:after="0" w:line="237" w:lineRule="auto"/>
        <w:tabs>
          <w:tab w:leader="none" w:pos="72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 beneficial owner of Hemab Therapeutics Holdings, Inc. (the “Company”), (i) Forms 3, 4 and 5 and any other forms required to be filed in accordance with Section 16(a) of the Securities Exchange Act of 1934 (the “Exchange Act”) and the rules thereunder (a “Section 16 Form”), (ii) all forms and schedules in accordance with Section 13(d) of the Exchange Act and the rules thereunder, including all amendments thereto (a “Section 13 Schedule”), (iii) a Form ID Application, Passphrase Update Application and/or request to convert from paper only to electronic filer with the US Securities and Exchange Commission and to obtain access codes to file on EDGAR and any other forms required to be filed or submitted in accordance with Regulation S-T promulgated by the United States Securities and Exchange Commission (or any successor provision) in order to file a Section 13 Schedule or a Section 16 Form electronically (a “Form ID”, and, together with a Section 13 Schedule and Section 16 Form, the “Forms and Schedules”) and (iv) any Joint Filing Agreement or similar agreement with respect to the filing of any of the Forms or Schedules in (i) through (iii) above;</w:t>
      </w:r>
    </w:p>
    <w:p>
      <w:pPr>
        <w:spacing w:after="0" w:line="208" w:lineRule="exact"/>
        <w:rPr>
          <w:rFonts w:ascii="Times New Roman" w:cs="Times New Roman" w:eastAsia="Times New Roman" w:hAnsi="Times New Roman"/>
          <w:sz w:val="24"/>
          <w:szCs w:val="24"/>
          <w:color w:val="auto"/>
        </w:rPr>
      </w:pPr>
    </w:p>
    <w:p>
      <w:pPr>
        <w:ind w:left="720" w:hanging="720"/>
        <w:spacing w:after="0" w:line="245" w:lineRule="auto"/>
        <w:tabs>
          <w:tab w:leader="none" w:pos="72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Forms and Schedules, complete and execute any amendment or amendments thereto, and timely file such Forms and Schedules with the U.S. Securities and Exchange Commission and any stock exchange or similar authority; and</w:t>
      </w:r>
    </w:p>
    <w:p>
      <w:pPr>
        <w:spacing w:after="0" w:line="193" w:lineRule="exact"/>
        <w:rPr>
          <w:rFonts w:ascii="Times New Roman" w:cs="Times New Roman" w:eastAsia="Times New Roman" w:hAnsi="Times New Roman"/>
          <w:sz w:val="24"/>
          <w:szCs w:val="24"/>
          <w:color w:val="auto"/>
        </w:rPr>
      </w:pPr>
    </w:p>
    <w:p>
      <w:pPr>
        <w:ind w:left="720" w:right="160" w:hanging="720"/>
        <w:spacing w:after="0" w:line="242" w:lineRule="auto"/>
        <w:tabs>
          <w:tab w:leader="none" w:pos="72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each such attorney-in-fact, may be of benefit to, in the best interest of, or legally required by, the undersigned, it being understood that the documents executed by each such attorney-in-fact on behalf of the undersigned pursuant to this Limited Power of Attorney shall be in such form and shall contain such terms and conditions as he may approve in his discretion.</w:t>
      </w:r>
    </w:p>
    <w:p>
      <w:pPr>
        <w:spacing w:after="0" w:line="199" w:lineRule="exact"/>
        <w:rPr>
          <w:sz w:val="20"/>
          <w:szCs w:val="20"/>
          <w:color w:val="auto"/>
        </w:rPr>
      </w:pPr>
    </w:p>
    <w:p>
      <w:pPr>
        <w:ind w:right="220" w:firstLine="729"/>
        <w:spacing w:after="0" w:line="241"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his substitute or substitutes, shall lawfully do or cause to be done by virtue of this Limited Power of Attorney and the rights and powers herein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1485265</wp:posOffset>
            </wp:positionV>
            <wp:extent cx="6972300" cy="44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00"/>
          </w:cols>
          <w:pgMar w:left="480" w:top="1154" w:right="519" w:bottom="1440" w:gutter="0" w:footer="0" w:header="0"/>
        </w:sectPr>
      </w:pPr>
    </w:p>
    <w:bookmarkStart w:id="3" w:name="page4"/>
    <w:bookmarkEnd w:id="3"/>
    <w:p>
      <w:pPr>
        <w:ind w:firstLine="729"/>
        <w:spacing w:after="0" w:line="250" w:lineRule="auto"/>
        <w:rPr>
          <w:sz w:val="20"/>
          <w:szCs w:val="20"/>
          <w:color w:val="auto"/>
        </w:rPr>
      </w:pPr>
      <w:r>
        <w:rPr>
          <w:rFonts w:ascii="Times New Roman" w:cs="Times New Roman" w:eastAsia="Times New Roman" w:hAnsi="Times New Roman"/>
          <w:sz w:val="24"/>
          <w:szCs w:val="24"/>
          <w:color w:val="auto"/>
        </w:rPr>
        <w:t>The undersigned acknowledges that each such attorney-in-fact is serving in such capacity at the request of the undersigned, and is not assuming, nor is the Company assuming, any of the undersigned’s responsibilities to comply with Section 13 or Section 16 of the Exchange Act.</w:t>
      </w:r>
    </w:p>
    <w:p>
      <w:pPr>
        <w:spacing w:after="0" w:line="188" w:lineRule="exact"/>
        <w:rPr>
          <w:sz w:val="20"/>
          <w:szCs w:val="20"/>
          <w:color w:val="auto"/>
        </w:rPr>
      </w:pPr>
    </w:p>
    <w:p>
      <w:pPr>
        <w:ind w:right="40" w:firstLine="729"/>
        <w:spacing w:after="0" w:line="245" w:lineRule="auto"/>
        <w:rPr>
          <w:sz w:val="20"/>
          <w:szCs w:val="20"/>
          <w:color w:val="auto"/>
        </w:rPr>
      </w:pPr>
      <w:r>
        <w:rPr>
          <w:rFonts w:ascii="Times New Roman" w:cs="Times New Roman" w:eastAsia="Times New Roman" w:hAnsi="Times New Roman"/>
          <w:sz w:val="24"/>
          <w:szCs w:val="24"/>
          <w:color w:val="auto"/>
        </w:rPr>
        <w:t>The Limited Power of Attorney shall remain in full force and effect until the undersigned is no longer required to file any Forms and Schedules with respect to the undersigned’s holdings of and transactions in securities issued by the Company, unless earlier revoked by the undersigned in a signed writing delivered to each such attorney-in-fact.</w:t>
      </w:r>
    </w:p>
    <w:p>
      <w:pPr>
        <w:spacing w:after="0" w:line="194" w:lineRule="exact"/>
        <w:rPr>
          <w:sz w:val="20"/>
          <w:szCs w:val="20"/>
          <w:color w:val="auto"/>
        </w:rPr>
      </w:pPr>
    </w:p>
    <w:p>
      <w:pPr>
        <w:ind w:right="400" w:firstLine="729"/>
        <w:spacing w:after="0" w:line="266" w:lineRule="auto"/>
        <w:rPr>
          <w:sz w:val="20"/>
          <w:szCs w:val="20"/>
          <w:color w:val="auto"/>
        </w:rPr>
      </w:pPr>
      <w:r>
        <w:rPr>
          <w:rFonts w:ascii="Times New Roman" w:cs="Times New Roman" w:eastAsia="Times New Roman" w:hAnsi="Times New Roman"/>
          <w:sz w:val="24"/>
          <w:szCs w:val="24"/>
          <w:color w:val="auto"/>
        </w:rPr>
        <w:t>From and after the date hereof, any Limited Power of Attorney previously granted by the undersigned concerning the subject matter hereof is hereby revoked.</w:t>
      </w:r>
    </w:p>
    <w:p>
      <w:pPr>
        <w:spacing w:after="0" w:line="184" w:lineRule="exact"/>
        <w:rPr>
          <w:sz w:val="20"/>
          <w:szCs w:val="20"/>
          <w:color w:val="auto"/>
        </w:rPr>
      </w:pPr>
    </w:p>
    <w:p>
      <w:pPr>
        <w:ind w:right="240" w:firstLine="729"/>
        <w:spacing w:after="0" w:line="216" w:lineRule="auto"/>
        <w:rPr>
          <w:sz w:val="20"/>
          <w:szCs w:val="20"/>
          <w:color w:val="auto"/>
        </w:rPr>
      </w:pPr>
      <w:r>
        <w:rPr>
          <w:rFonts w:ascii="Times New Roman" w:cs="Times New Roman" w:eastAsia="Times New Roman" w:hAnsi="Times New Roman"/>
          <w:sz w:val="24"/>
          <w:szCs w:val="24"/>
          <w:color w:val="auto"/>
        </w:rPr>
        <w:t>IN WITNESS WHEREOF, the undersigned has executed this Limited Power of Attorney as of this 11</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4"/>
          <w:szCs w:val="24"/>
          <w:color w:val="auto"/>
        </w:rPr>
        <w:t xml:space="preserve"> day of May 2026.</w:t>
      </w:r>
    </w:p>
    <w:p>
      <w:pPr>
        <w:spacing w:after="0" w:line="200" w:lineRule="exact"/>
        <w:rPr>
          <w:sz w:val="20"/>
          <w:szCs w:val="20"/>
          <w:color w:val="auto"/>
        </w:rPr>
      </w:pPr>
    </w:p>
    <w:p>
      <w:pPr>
        <w:spacing w:after="0" w:line="27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24"/>
          <w:szCs w:val="24"/>
          <w:color w:val="auto"/>
        </w:rPr>
        <w:t>LEONARD BLAVATNIK</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u w:val="single" w:color="auto"/>
          <w:color w:val="auto"/>
        </w:rPr>
        <w:t>/s/ Leonard Blavatnik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1203325</wp:posOffset>
            </wp:positionV>
            <wp:extent cx="6972300" cy="44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20"/>
      </w:cols>
      <w:pgMar w:left="480" w:top="116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10" Type="http://schemas.openxmlformats.org/officeDocument/2006/relationships/hyperlink" Target="http://www.sec.gov/cgi-bin/browse-edgar?action=getcompany&amp;CIK=0002132038" TargetMode="External"/><Relationship Id="rId11" Type="http://schemas.openxmlformats.org/officeDocument/2006/relationships/hyperlink" Target="http://www.sec.gov/cgi-bin/browse-edgar?action=getcompany&amp;CIK=0002114044" TargetMode="External"/><Relationship Id="rId13" Type="http://schemas.openxmlformats.org/officeDocument/2006/relationships/hyperlink" Target="http://www.sec.gov/cgi-bin/browse-edgar?action=getcompany&amp;CIK=0001942670" TargetMode="External"/><Relationship Id="rId15" Type="http://schemas.openxmlformats.org/officeDocument/2006/relationships/hyperlink" Target="http://www.sec.gov/cgi-bin/browse-edgar?action=getcompany&amp;CIK=0001391297" TargetMode="External"/><Relationship Id="rId16" Type="http://schemas.openxmlformats.org/officeDocument/2006/relationships/hyperlink" Target="http://www.sec.gov/cgi-bin/browse-edgar?action=getcompany&amp;CIK=0001508226" TargetMode="External"/><Relationship Id="rId17" Type="http://schemas.openxmlformats.org/officeDocument/2006/relationships/hyperlink" Target="http://www.sec.gov/cgi-bin/browse-edgar?action=getcompany&amp;CIK=0001326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2026-05-14T15:17:07Z</dcterms:created>
  <dcterms:modified xsi:type="dcterms:W3CDTF">2026-05-14T15:17:07Z</dcterms:modified>
</cp:coreProperties>
</file>