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0684d8k.htm"/>
      <w:bookmarkStart w:id="1" w:name="ksd1806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Hemab Therapeutics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001-43250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41-4241952</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101 Main Street, Suite 1220</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02142</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553-3952</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4220"/>
        <w:gridCol w:w="60"/>
        <w:gridCol w:w="725"/>
        <w:gridCol w:w="60"/>
        <w:gridCol w:w="2825"/>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COAG</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Hemab Therapeutics Holdings, Inc. (the “Company”) issued a press release announcing the Company’s financial results for the quarter ended June 30, 2026.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560"/>
        <w:gridCol w:w="120"/>
        <w:gridCol w:w="771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1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center"/>
              <w:rPr/>
            </w:pPr>
            <w:r>
              <w:rPr/>
              <w:t>99.1</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hyperlink w:anchor="d180684dex991.htm">
              <w:r>
                <w:rPr>
                  <w:rStyle w:val="InternetLink"/>
                </w:rPr>
                <w:t xml:space="preserve">Press Release issued by Hemab Therapeutics Holdings, Inc. on August 11,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center"/>
              <w:rPr/>
            </w:pPr>
            <w:r>
              <w:rPr/>
              <w:t>104</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051" w:type="dxa"/>
        <w:jc w:val="left"/>
        <w:tblInd w:w="0" w:type="dxa"/>
        <w:tblLayout w:type="fixed"/>
        <w:tblCellMar>
          <w:top w:w="0" w:type="dxa"/>
          <w:left w:w="0" w:type="dxa"/>
          <w:bottom w:w="0" w:type="dxa"/>
          <w:right w:w="0" w:type="dxa"/>
        </w:tblCellMar>
      </w:tblPr>
      <w:tblGrid>
        <w:gridCol w:w="2195"/>
        <w:gridCol w:w="60"/>
        <w:gridCol w:w="23"/>
        <w:gridCol w:w="60"/>
        <w:gridCol w:w="372"/>
        <w:gridCol w:w="61"/>
        <w:gridCol w:w="42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13" w:type="dxa"/>
            <w:gridSpan w:val="3"/>
            <w:tcBorders/>
            <w:vAlign w:val="center"/>
          </w:tcPr>
          <w:p>
            <w:pPr>
              <w:pStyle w:val="TableContents"/>
              <w:bidi w:val="0"/>
              <w:spacing w:before="0" w:after="283"/>
              <w:jc w:val="left"/>
              <w:rPr/>
            </w:pPr>
            <w:r>
              <w:rPr/>
              <w:t>HEMAB THERAPEUTICS HOLDINGS,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32" w:type="dxa"/>
            <w:gridSpan w:val="2"/>
            <w:tcBorders/>
            <w:vAlign w:val="center"/>
          </w:tcPr>
          <w:p>
            <w:pPr>
              <w:pStyle w:val="TableContents"/>
              <w:bidi w:val="0"/>
              <w:spacing w:before="0" w:after="283"/>
              <w:jc w:val="left"/>
              <w:rPr>
                <w:sz w:val="4"/>
                <w:szCs w:val="4"/>
              </w:rPr>
            </w:pPr>
            <w:r>
              <w:rPr>
                <w:sz w:val="4"/>
                <w:szCs w:val="4"/>
              </w:rPr>
            </w:r>
          </w:p>
        </w:tc>
        <w:tc>
          <w:tcPr>
            <w:tcW w:w="4341"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42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Benny Sørensen, M.D.,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Name: Benny Sørensen, M.D.,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Title: President and Chief Executive Officer</w:t>
            </w:r>
          </w:p>
        </w:tc>
      </w:tr>
    </w:tbl>
    <w:p>
      <w:pPr>
        <w:pStyle w:val="TextBody"/>
        <w:bidi w:val="0"/>
        <w:spacing w:before="0" w:after="0"/>
        <w:jc w:val="right"/>
        <w:rPr>
          <w:rFonts w:ascii="Times New Roman" w:hAnsi="Times New Roman"/>
          <w:b/>
          <w:sz w:val="20"/>
        </w:rPr>
      </w:pPr>
      <w:bookmarkStart w:id="2" w:name="d180684dex991.htm"/>
      <w:bookmarkStart w:id="3" w:name="ksd18068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Hemab Therapeutics Reports Second Quarter 2026 Financial Results and Provides Corporate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Multiple scientific data presentations, including five oral presentations across three programs, at the International Society on Thrombosis and Haemostasis (ISTH) 2026 Congress in Paris, France </w:t>
      </w:r>
    </w:p>
    <w:p>
      <w:pPr>
        <w:pStyle w:val="TextBody"/>
        <w:bidi w:val="0"/>
        <w:spacing w:before="240" w:after="0"/>
        <w:jc w:val="center"/>
        <w:rPr>
          <w:rFonts w:ascii="Times New Roman" w:hAnsi="Times New Roman"/>
          <w:sz w:val="20"/>
        </w:rPr>
      </w:pPr>
      <w:r>
        <w:rPr>
          <w:rFonts w:ascii="Times New Roman" w:hAnsi="Times New Roman"/>
          <w:i/>
          <w:sz w:val="20"/>
        </w:rPr>
        <w:t xml:space="preserve">New clinical data on HMB-002 demonstrated </w:t>
      </w:r>
      <w:r>
        <w:rPr>
          <w:rFonts w:ascii="Times New Roman" w:hAnsi="Times New Roman"/>
          <w:sz w:val="20"/>
        </w:rPr>
        <w:t xml:space="preserve">≥ </w:t>
      </w:r>
      <w:r>
        <w:rPr>
          <w:rFonts w:ascii="Times New Roman" w:hAnsi="Times New Roman"/>
          <w:i/>
          <w:sz w:val="20"/>
        </w:rPr>
        <w:t xml:space="preserve">2.4-fold increase in Von Willebrand Factor (VWF) and Factor VIII (FVIII), stronger than anticipated proof of mechanism, and encouraging preliminary clinical observations in Von Willebrand Disease (VWD) </w:t>
      </w:r>
    </w:p>
    <w:p>
      <w:pPr>
        <w:pStyle w:val="TextBody"/>
        <w:bidi w:val="0"/>
        <w:spacing w:before="240" w:after="0"/>
        <w:jc w:val="center"/>
        <w:rPr>
          <w:rFonts w:ascii="Times New Roman" w:hAnsi="Times New Roman"/>
          <w:i/>
          <w:sz w:val="20"/>
        </w:rPr>
      </w:pPr>
      <w:r>
        <w:rPr>
          <w:rFonts w:ascii="Times New Roman" w:hAnsi="Times New Roman"/>
          <w:i/>
          <w:sz w:val="20"/>
        </w:rPr>
        <w:t xml:space="preserve">Unveiled HMB-003, a novel non-hormonal, peptide-based plasmin inhibitor designed to reduce bleeding across multiple settings, beginning with heavy menstrual bleeding indication </w:t>
      </w:r>
    </w:p>
    <w:p>
      <w:pPr>
        <w:pStyle w:val="TextBody"/>
        <w:bidi w:val="0"/>
        <w:spacing w:before="240" w:after="0"/>
        <w:jc w:val="center"/>
        <w:rPr>
          <w:rFonts w:ascii="Times New Roman" w:hAnsi="Times New Roman"/>
          <w:i/>
          <w:sz w:val="20"/>
        </w:rPr>
      </w:pPr>
      <w:r>
        <w:rPr>
          <w:rFonts w:ascii="Times New Roman" w:hAnsi="Times New Roman"/>
          <w:i/>
          <w:sz w:val="20"/>
        </w:rPr>
        <w:t xml:space="preserve">Long-term extension (LTE) data for sutacimig showed sustained favorable results in Glanzmann thrombasthenia (GT), and FDA endorsed the sutacimig clinical data package as sufficient to proceed to a Phase 3 pivotal trial in GT; Phase 3 initiation planned 2H 2026 </w:t>
      </w:r>
    </w:p>
    <w:p>
      <w:pPr>
        <w:pStyle w:val="TextBody"/>
        <w:bidi w:val="0"/>
        <w:spacing w:before="240" w:after="0"/>
        <w:jc w:val="left"/>
        <w:rPr>
          <w:rFonts w:ascii="Times New Roman" w:hAnsi="Times New Roman"/>
          <w:sz w:val="20"/>
        </w:rPr>
      </w:pPr>
      <w:r>
        <w:rPr>
          <w:rFonts w:ascii="Times New Roman" w:hAnsi="Times New Roman"/>
          <w:b/>
          <w:sz w:val="20"/>
        </w:rPr>
        <w:t>CAMBRIDGE, MA, USA</w:t>
      </w:r>
      <w:r>
        <w:rPr>
          <w:rFonts w:ascii="Times New Roman" w:hAnsi="Times New Roman"/>
          <w:sz w:val="20"/>
        </w:rPr>
        <w:t> </w:t>
      </w:r>
      <w:r>
        <w:rPr>
          <w:rFonts w:ascii="Times New Roman" w:hAnsi="Times New Roman"/>
          <w:b/>
          <w:sz w:val="20"/>
        </w:rPr>
        <w:t>&amp; COPENHAGEN, Denmark — August</w:t>
      </w:r>
      <w:r>
        <w:rPr>
          <w:rFonts w:ascii="Times New Roman" w:hAnsi="Times New Roman"/>
          <w:sz w:val="20"/>
        </w:rPr>
        <w:t> </w:t>
      </w:r>
      <w:r>
        <w:rPr>
          <w:rFonts w:ascii="Times New Roman" w:hAnsi="Times New Roman"/>
          <w:b/>
          <w:sz w:val="20"/>
        </w:rPr>
        <w:t xml:space="preserve">11, 2026 — </w:t>
      </w:r>
      <w:r>
        <w:rPr>
          <w:rFonts w:ascii="Times New Roman" w:hAnsi="Times New Roman"/>
          <w:sz w:val="20"/>
        </w:rPr>
        <w:t xml:space="preserve">Hemab Therapeutics (Nasdaq: COAG), a clinical-stage biotechnology company developing therapies that reimagine the treatment of blood coagulation disorders to sustain life and human resilience, today announced financial results for the second quarter ended June 30, 2026, and recent business highlights. </w:t>
      </w:r>
    </w:p>
    <w:p>
      <w:pPr>
        <w:pStyle w:val="TextBody"/>
        <w:bidi w:val="0"/>
        <w:spacing w:before="240" w:after="0"/>
        <w:jc w:val="left"/>
        <w:rPr/>
      </w:pPr>
      <w:r>
        <w:rPr/>
        <w:t>“</w:t>
      </w:r>
      <w:r>
        <w:rPr>
          <w:rFonts w:ascii="Times New Roman" w:hAnsi="Times New Roman"/>
          <w:sz w:val="20"/>
        </w:rPr>
        <w:t xml:space="preserve">This was a very productive quarter for Hemab with continued execution across our pipeline,” said Benny Sørensen, MD, PhD, CEO of Hemab. “We had a significant presence at ISTH 2026, presenting data from all our programs. The strong interest we saw in that data underscores both the significant unmet need in bleeding disorders and the potential for our clinical and preclinical pipeline to redefine the standard of care in this space. We are particularly pleased to announce a new program, HMB-003, where we are addressing heavy menstrual bleeding, an indication that affects millions of women globally. HMB-003 is another example of how Hemab is developing treatments that could redefine care across high-unmet-need bleeding disorders. We look forward to providing additional updates on our programs later this year.”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Highlights </w:t>
      </w:r>
    </w:p>
    <w:p>
      <w:pPr>
        <w:pStyle w:val="TextBody"/>
        <w:bidi w:val="0"/>
        <w:spacing w:before="120" w:after="0"/>
        <w:jc w:val="left"/>
        <w:rPr>
          <w:rFonts w:ascii="Times New Roman" w:hAnsi="Times New Roman"/>
          <w:sz w:val="20"/>
        </w:rPr>
      </w:pPr>
      <w:r>
        <w:rPr>
          <w:rFonts w:ascii="Times New Roman" w:hAnsi="Times New Roman"/>
          <w:sz w:val="20"/>
        </w:rPr>
        <w:t>In July, the Company presented at the ISTH 2026 Congress in Paris, France, delivering nine presentations across three clinical and preclinical programs. All ISTH presentations are available on the Company’s corporate website (</w:t>
      </w:r>
      <w:r>
        <w:rPr>
          <w:rFonts w:ascii="Times New Roman" w:hAnsi="Times New Roman"/>
          <w:sz w:val="20"/>
          <w:u w:val="single"/>
        </w:rPr>
        <w:t>here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and Anticipated Milestones </w:t>
      </w:r>
    </w:p>
    <w:p>
      <w:pPr>
        <w:pStyle w:val="TextBody"/>
        <w:bidi w:val="0"/>
        <w:spacing w:before="120" w:after="0"/>
        <w:jc w:val="left"/>
        <w:rPr>
          <w:rFonts w:ascii="Times New Roman" w:hAnsi="Times New Roman"/>
          <w:sz w:val="20"/>
        </w:rPr>
      </w:pPr>
      <w:r>
        <w:rPr>
          <w:rFonts w:ascii="Times New Roman" w:hAnsi="Times New Roman"/>
          <w:b/>
          <w:sz w:val="20"/>
        </w:rPr>
        <w:t xml:space="preserve">Sutacimig: </w:t>
      </w:r>
      <w:r>
        <w:rPr>
          <w:rFonts w:ascii="Times New Roman" w:hAnsi="Times New Roman"/>
          <w:sz w:val="20"/>
        </w:rPr>
        <w:t xml:space="preserve">Sutacimig is a bispecific antibody in clinical development for two indications: GT and Factor VII deficiency (FVIID). Sutacimig has received Fast Track, Orphan Drug, and Breakthrough Therapy Designations from the U.S. Food and Drug Administration (FDA) for the treatment of GT. In Europe, the European Medicines Agency (EMA) has granted sutacimig Orphan Medicinal Product designation for the treatment of GT and access to the Priority Medicines (PRIME) scheme. Sutacimig has also received the Innovative Licensing and Access Pathway (ILAP) designation from the UK Medicines and Healthcare products Regulatory Agency (MHRA).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Glanzmann Thrombasthenia:</w:t>
      </w:r>
      <w:r>
        <w:rPr>
          <w:rFonts w:ascii="Times New Roman" w:hAnsi="Times New Roman"/>
          <w:sz w:val="20"/>
        </w:rPr>
        <w:t xml:space="preserve"> GT is a congenital, severe, lifelong bleeding disorder caused by defects in platelet aggregation, with substantial geographic variation in prevalence, from approximately 1 in 100,000 individuals in high-prevalence regions such as the Gulf Cooperation Council (GCC) countries to between 1 in 350,000 and 1 in 600,000 in the United States. There are currently no approved prophylactic treatment options for GT; management is limited to platelet transfusions, antifibrinolytics, recombinant Factor VIIa, and bone marrow transplantation.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the Company presented Phase 2 LTE data for sutacimig at ISTH 2026. The data demonstrated clinically meaningful and sustained bleed reduction in 34 participants at a median timepoint of 6.9 months and up to 15.9 months of exposure. Ninety-two percent (92%) of participants who had bled during the run-in experienced reductions in treated bleed rates on sutacimig, and the mean high-intensity annualized treated bleed event rate (ATBR) was reduced by 62% over the treatment and extension period; in the low-dose weekly regimen cohort, mean ATBR was reduced by approximately 84%.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events were predominantly mild to moderate, with no Grade 3 or higher related adverse events. Three participants experienced Grade 2 thromboembolic events; these occurred in participants assigned to dose cohorts associated with higher exposure and/or with multiple concurrent risk factors, and all were managed with routine anticoagulation and were resolved or resolving at the data cut. The Phase 3 dose and regimen were selected to optimize bleed rate reduction while avoiding the high peak exposures associated with thromboembolic events observed in the Phase 1/2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has endorsed the Company’s clinical data package as sufficient to proceed to a Phase 3 pivotal trial in GT with a dose of 0.2 mg/kg once weekly. The Company plans to initiate the Phase 3 trial in the second half of 2026. </w:t>
            </w:r>
          </w:p>
        </w:tc>
      </w:tr>
    </w:tbl>
    <w:p>
      <w:pPr>
        <w:pStyle w:val="TextBody"/>
        <w:bidi w:val="0"/>
        <w:spacing w:before="240" w:after="0"/>
        <w:jc w:val="left"/>
        <w:rPr>
          <w:rFonts w:ascii="Times New Roman" w:hAnsi="Times New Roman"/>
          <w:sz w:val="20"/>
        </w:rPr>
      </w:pPr>
      <w:r>
        <w:rPr>
          <w:rFonts w:ascii="Times New Roman" w:hAnsi="Times New Roman"/>
          <w:b/>
          <w:sz w:val="20"/>
        </w:rPr>
        <w:t>Factor VII Deficiency:</w:t>
      </w:r>
      <w:r>
        <w:rPr>
          <w:rFonts w:ascii="Times New Roman" w:hAnsi="Times New Roman"/>
          <w:sz w:val="20"/>
        </w:rPr>
        <w:t xml:space="preserve"> FVIID is a congenital severe bleeding disorder, with prevalence of moderate and severe forms estimated at approximately 1 in 500,000 globally and characterized by impaired blood clotting and increased bleeding risk.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conducting an ongoing Phase 2 clinical trial of sutacimig for FVIID. New preclinical data for sutacimig presented at ISTH 2026 demonstrated restoration of thrombin generation under disease-mimicking conditions, with confirmed binding across 22 of 25 tested severe-to-moderate FVIID variants (88%), supporting broad patient applicability for the ongoing Phase 2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to report data from the ongoing Phase 2 trial in late 2026 or early 2027. </w:t>
            </w:r>
          </w:p>
        </w:tc>
      </w:tr>
    </w:tbl>
    <w:p>
      <w:pPr>
        <w:pStyle w:val="TextBody"/>
        <w:bidi w:val="0"/>
        <w:spacing w:before="240" w:after="0"/>
        <w:jc w:val="left"/>
        <w:rPr>
          <w:rFonts w:ascii="Times New Roman" w:hAnsi="Times New Roman"/>
          <w:sz w:val="20"/>
        </w:rPr>
      </w:pPr>
      <w:r>
        <w:rPr>
          <w:rFonts w:ascii="Times New Roman" w:hAnsi="Times New Roman"/>
          <w:b/>
          <w:sz w:val="20"/>
        </w:rPr>
        <w:t>HMB-002—Von Willebrand Disease:</w:t>
      </w:r>
      <w:r>
        <w:rPr>
          <w:rFonts w:ascii="Times New Roman" w:hAnsi="Times New Roman"/>
          <w:sz w:val="20"/>
        </w:rPr>
        <w:t xml:space="preserve"> HMB-002 is a novel monovalent antibody designed for subcutaneous prophylactic treatment of VWD, the most common inherited bleeding disorder, with approximately 140,000 patients diagnosed across all severity levels in the United States, of whom more than an estimated 50,000 require treatment for bleeding events.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the Company presented new first-in-human data at ISTH 2026 supporting HMB-002 as a non-replacement approach to treating VWD. Data from the ongoing VELORA Pioneer Phase 1/2 trial demonstrated proof of mechanism, a ≥2.4-fold peak increase in VWF and FVIII, normalization of peak thrombin generation and APTT, and a durability profile supporting potential monthly subcutaneous dosing. The single ascending dose portion of the study was not designed to measure efficacy, and the following preliminary clinical observations are descriptive in nature. Across the single ascending dose cohorts, 8 of 9 evaluable patients had zero treated bleeds in the 28 days following HMB-002 dosing, with a mean ATBR of 1.6, compared with a baseline mean ATBR of 20.1 prior to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to report additional data from the trial in late 2026 or early 2027.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HMB-003—Novel Antifibrinolytic Program: </w:t>
      </w:r>
      <w:r>
        <w:rPr>
          <w:rFonts w:ascii="Times New Roman" w:hAnsi="Times New Roman"/>
          <w:sz w:val="20"/>
        </w:rPr>
        <w:t xml:space="preserve">HMB-003 is a novel fatty-acid-conjugated peptide antifibrinolytic, designed to stabilize clots and reduce bleeding across multiple settings, beginning in heavy menstrual bleeding, an indication affecting one in three reproductive-age women, over 23 million women, in the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the Company unveiled HMB-003, a long-acting subcutaneous plasmin inhibitor with the potential for cycle-matched dosing, initially being developed in heavy menstrual bleeding. HMB-003 is also being developed to address bleeding in additional high-unmet-need conditions, including hereditary hemorrhagic telangiectasia and peri-operative bleeding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presented at ISTH 2026 demonstrated potent and selective plasmin inhibition, with HMB-003 directly inhibiting plasmin at its active site and blocking fibrinolysis across both tPA- and uPA-driven pathways, while showing no effect on thrombin generation, platelet function, or coagulation. In a preclinical model, HMB-003 achieved rapid peak plasma levels within hours and sustained antifibrinolytic activity for approximately one week, supporting the potential for cycle-matched dosing in people experiencing heavy menstrual bleeding.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plans to initiate first-in-human studies in the second half of 2026 with initial clinical data mid-2027.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and Cash Runway: </w:t>
            </w:r>
            <w:r>
              <w:rPr>
                <w:rFonts w:ascii="Times New Roman" w:hAnsi="Times New Roman"/>
                <w:sz w:val="20"/>
              </w:rPr>
              <w:t xml:space="preserve">Cash, cash equivalents, and marketable securities totaled $457.5 million as of June 30, 2026, compared to $163.5 million as of March 31, 2026. The increase primarily reflects net proceeds of $317.2 million from the Company’s initial public offering completed in May 2026, partially offset by cash used in operating activities. The Company believes its current cash, cash equivalents, and marketable securities will enable it to fund its operating expenses and capital expenditure requirements into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Research and development expenses were $20.3 million for the three months ended June 30, 2026, compared to $12.9 million for the three months ended June 30, 2025. The increase was due to costs related to the advancement of clinical programs in addition to increases in equity-based compensation and personnel-related expenses related to company growth to support the advancement of our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General and administrative expenses were $5.7 million for the three months ended June 30, 2026, compared to $3.2 million for the three months ended June 30, 2025, due to equity-based compensation and other costs associated with operating as a public company.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was $24.2 million, or $0.80 per share, for the three months ended June 30, 2026, compared to a net loss of $12.2 million, or $12.91 per share, for the three months ended June 30, 2025. The decrease in net loss per share primarily reflects the increase in weighted-average shares outstanding during the three months ended June 30, 2026 following the Company’s initial public offering and the subsequent conversion of preferred stock into common stock in May 2026. </w:t>
            </w:r>
          </w:p>
        </w:tc>
      </w:tr>
    </w:tbl>
    <w:p>
      <w:pPr>
        <w:pStyle w:val="TextBody"/>
        <w:bidi w:val="0"/>
        <w:spacing w:before="240" w:after="0"/>
        <w:jc w:val="left"/>
        <w:rPr>
          <w:rFonts w:ascii="Times New Roman" w:hAnsi="Times New Roman"/>
          <w:sz w:val="20"/>
        </w:rPr>
      </w:pPr>
      <w:r>
        <w:rPr>
          <w:rFonts w:ascii="Times New Roman" w:hAnsi="Times New Roman"/>
          <w:b/>
          <w:sz w:val="20"/>
        </w:rPr>
        <w:t>Conference Call Information</w:t>
      </w:r>
      <w:r>
        <w:rPr>
          <w:rFonts w:ascii="Times New Roman" w:hAnsi="Times New Roman"/>
          <w:sz w:val="20"/>
        </w:rPr>
        <w:t xml:space="preserve">: Beginning with its third quarter 2026 financial results, Hemab Therapeutics plans to host quarterly conference calls to discuss its financial results and provide business updates. Details regarding the date, time and webcast registration for the third quarter 2026 call will be announced in a subsequent press release. </w:t>
      </w:r>
    </w:p>
    <w:p>
      <w:pPr>
        <w:pStyle w:val="TextBody"/>
        <w:bidi w:val="0"/>
        <w:spacing w:before="360" w:after="0"/>
        <w:jc w:val="left"/>
        <w:rPr>
          <w:rFonts w:ascii="Times New Roman" w:hAnsi="Times New Roman"/>
          <w:sz w:val="20"/>
        </w:rPr>
      </w:pPr>
      <w:r>
        <w:rPr>
          <w:rFonts w:ascii="Times New Roman" w:hAnsi="Times New Roman"/>
          <w:b/>
          <w:sz w:val="20"/>
        </w:rPr>
        <w:t>About Glanzmann Thrombasthenia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Glanzmann thrombasthenia (GT) is a severe bleeding disorder marked by debilitating, sometimes life-threatening bleeding episodes. Results from an international natural history study (Glanzmann’s 360) revealed the substantial burden of this disease: 88% of the 117 participants reported at least one bleed in the previous week with 65% requiring a bleed-related hospital visit in the prior six months. These bleeding episodes significantly impacted patients’ mental health and quality of life, with over 80% having missed work or school, over 50% facing limitations in attending social events, and over 50% experiencing restrictions in travel. To date, there are no approved prophylactic treatment options for GT. </w:t>
      </w:r>
      <w:r>
        <w:rPr>
          <w:rFonts w:ascii="Times New Roman" w:hAnsi="Times New Roman"/>
          <w:b/>
          <w:sz w:val="20"/>
        </w:rPr>
        <w:t xml:space="preserve">About Factor VII Deficiency </w:t>
      </w:r>
      <w:r>
        <w:rPr>
          <w:rFonts w:ascii="Times New Roman" w:hAnsi="Times New Roman"/>
          <w:sz w:val="20"/>
        </w:rPr>
        <w:t xml:space="preserve">Factor VII deficiency (FVIID) is a congenital severe bleeding disorder characterized by reduced levels of Factor VII, a naturally circulating blood coagulation protein. Patients with clinically severe FVIID suffer from recurrent, unpredictable, life-threatening or potentially disabling bleeding at critical sites, such as in the central nervous system, gastrointestinal tract and intra-articular locations, as well as recurrent mucocutaneous bleeds of the nose and gums with additional risks for female patients, consisting of heavy menstrual bleeding and potentially life-threatening post-partum hemorrhage. </w:t>
      </w:r>
    </w:p>
    <w:p>
      <w:pPr>
        <w:pStyle w:val="TextBody"/>
        <w:bidi w:val="0"/>
        <w:spacing w:before="360" w:after="0"/>
        <w:jc w:val="left"/>
        <w:rPr>
          <w:rFonts w:ascii="Times New Roman" w:hAnsi="Times New Roman"/>
          <w:sz w:val="20"/>
        </w:rPr>
      </w:pPr>
      <w:r>
        <w:rPr>
          <w:rFonts w:ascii="Times New Roman" w:hAnsi="Times New Roman"/>
          <w:b/>
          <w:sz w:val="20"/>
        </w:rPr>
        <w:t>About Sutacimig (formerly HMB-001)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Sutacimig is a subcutaneously administered bispecific antibody that is designed to bind and stabilize endogenous Factor VIIa with one antibody arm and bind to TLT-1 on activated platelets with the other arm. This mechanism is designed to allow for the accumulation of endogenous Factor VIIa in the body and recruitment of Factor VIIa directly to the surface of the activated platelets, where it amplifies thrombin generation at the platelet surface. Sutacimig is designed to be a first-in-class prophylactic treatment for Glanzmann thrombasthenia (GT) with the potential to treat other debilitating bleeding disorders. The U.S. Food and Drug Administration has granted Fast Track Designation, Orphan Drug Designation, and Breakthrough Therapy Designation to sutacimig for the treatment of GT, and the UK Medicines and Healthcare products Regulatory Agency has awarded sutacimig designation under the Innovative Licensing and Access Pathway (ILAP); it has been designated as an orphan medicinal product in the European Union for the treatment of GT, and the European Medicines Agency (EMA) has granted sutacimig access to the Priority Medicines (PRIME) scheme. For more information, please visit clinicaltrials.gov (NCT06211634).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About Von Willebrand Disease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Von Willebrand Disease (VWD) is the most common inherited bleeding disorder, characterized by quantitative or qualitative defects in Von Willebrand Factor (VWF), often resulting in frequent mucocutaneous bleeding events and heavy menstrual bleeding in women. The severity of bleeding ranges from low-volume events to potentially life-threatening hemorrhages. Chronic blood loss frequently leads to iron deficiency anemia, exacerbating the disease burden and reducing quality of life, particularly for those with clinically understated subtypes. Despite its prevalence, current treatment options for VWD primarily focus on managing symptoms rather than addressing the underlying biology of the disease. </w:t>
      </w:r>
    </w:p>
    <w:p>
      <w:pPr>
        <w:pStyle w:val="TextBody"/>
        <w:bidi w:val="0"/>
        <w:spacing w:before="360" w:after="0"/>
        <w:jc w:val="left"/>
        <w:rPr>
          <w:rFonts w:ascii="Times New Roman" w:hAnsi="Times New Roman"/>
          <w:sz w:val="20"/>
        </w:rPr>
      </w:pPr>
      <w:r>
        <w:rPr>
          <w:rFonts w:ascii="Times New Roman" w:hAnsi="Times New Roman"/>
          <w:b/>
          <w:sz w:val="20"/>
        </w:rPr>
        <w:t>About HMB-002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HMB-002 is a monovalent human antibody being developed as the first-in-class subcutaneous prophylactic treatment for Von Willebrand Disease targeting the underlying cause of the disease, a condition driven by a deficiency or defect in Von Willebrand Factor (VWF), a key regulator of hemostasis. By specifically targeting the C-terminal CK domain of VWF, which is distinct from regions critical to its essential interactions, HMB-002 shields the protein from degradation, boosting endogenous levels without compromising its function. Clinical and nonclinical data suggest strong potential for meaningful therapeutic benefit. For more information, please visit clinicaltrials.gov (NCT06610201 and NCT06754852). </w:t>
      </w:r>
      <w:r>
        <w:rPr>
          <w:rFonts w:ascii="Times New Roman" w:hAnsi="Times New Roman"/>
          <w:b/>
          <w:sz w:val="20"/>
        </w:rPr>
        <w:t xml:space="preserve">About HMB-003 </w:t>
      </w:r>
      <w:r>
        <w:rPr>
          <w:rFonts w:ascii="Times New Roman" w:hAnsi="Times New Roman"/>
          <w:sz w:val="20"/>
        </w:rPr>
        <w:t xml:space="preserve">HMB-003 is a subcutaneously administered peptide-based plasmin inhibitor with a durable half-life — a proven therapeutic target in coagulation medicine — being developed as a novel antifibrinolytic designed to reduce bleeding across multiple settings. Engineered to directly inhibit plasmin at its active site, HMB-003 blocks fibrinolysis independently of the plasminogen activation pathway. HMB-003 is optimized to provide sustained bleed protection across multiple high-unmet-need conditions, ranging from heavy menstrual bleeding and hereditary hemorrhagic telangiectasia to peri-operative bleeding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Hemab Therapeutics </w:t>
      </w:r>
    </w:p>
    <w:p>
      <w:pPr>
        <w:pStyle w:val="TextBody"/>
        <w:bidi w:val="0"/>
        <w:spacing w:before="120" w:after="0"/>
        <w:jc w:val="left"/>
        <w:rPr>
          <w:rFonts w:ascii="Times New Roman" w:hAnsi="Times New Roman"/>
          <w:sz w:val="20"/>
        </w:rPr>
      </w:pPr>
      <w:r>
        <w:rPr>
          <w:rFonts w:ascii="Times New Roman" w:hAnsi="Times New Roman"/>
          <w:sz w:val="20"/>
        </w:rPr>
        <w:t xml:space="preserve">Hemab Therapeutics Holdings, Inc. is a clinical-stage biotechnology company developing therapies that reimagine the treatment of blood coagulation disorders to sustain life and human resilience. Hemab’s mission is to discover, develop, and commercialize innovative therapies for the millions of patients worldwide suffering from serious bleeding and thrombotic diseases. Hemab is building a franchise of innovative therapeutics designed to address critical gaps in the treatment of coagulation disorders, including sutacimig (HMB-001), a bispecific antibody in clinical development for the prophylactic treatment of Glanzmann thrombasthenia and Factor VII deficiency, HMB-002, a monovalent antibody in clinical development for the prophylactic treatment of Von Willebrand Disease, and HMB-003, an antifibrinolytic targeting plasmin inhibition in preclinical development for multiple high-unmet-need conditions, ranging from heavy menstrual bleeding and hereditary hemorrhagic telangiectasia to peri-operative bleeding management. </w:t>
      </w:r>
    </w:p>
    <w:p>
      <w:pPr>
        <w:pStyle w:val="TextBody"/>
        <w:bidi w:val="0"/>
        <w:spacing w:before="240" w:after="0"/>
        <w:jc w:val="left"/>
        <w:rPr>
          <w:rFonts w:ascii="Times New Roman" w:hAnsi="Times New Roman"/>
          <w:sz w:val="20"/>
        </w:rPr>
      </w:pPr>
      <w:r>
        <w:rPr>
          <w:rFonts w:ascii="Times New Roman" w:hAnsi="Times New Roman"/>
          <w:sz w:val="20"/>
        </w:rPr>
        <w:t xml:space="preserve">Learn more at </w:t>
      </w:r>
      <w:r>
        <w:rPr>
          <w:rFonts w:ascii="Times New Roman" w:hAnsi="Times New Roman"/>
          <w:sz w:val="20"/>
          <w:u w:val="single"/>
        </w:rPr>
        <w:t>hemab.com</w:t>
      </w:r>
      <w:r>
        <w:rPr>
          <w:rFonts w:ascii="Times New Roman" w:hAnsi="Times New Roman"/>
          <w:sz w:val="20"/>
        </w:rPr>
        <w:t xml:space="preserve">. Follow us on </w:t>
      </w:r>
      <w:r>
        <w:rPr>
          <w:rFonts w:ascii="Times New Roman" w:hAnsi="Times New Roman"/>
          <w:sz w:val="20"/>
          <w:u w:val="single"/>
        </w:rPr>
        <w:t>LinkedIn</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Instagram</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facts, contained in this press release, including statements regarding Hemab’s strategy, future operations, prospects and plans, objectives of management, the anticipated timelines for reporting data from Hemab’s clinical trials, the anticipated timelines for initiating a Phase 3 clinical trial of sutacimig and further development of HMB-002 and HMB-003, the clinical potential of sutacimig, HMB-002 and HMB-003, Hemab’s plans to expand its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pipeline, and the sufficiency of Hemab’s cash resources for the period anticipated,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Hemab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preclinical studies and clinical trials; uncertainties as to the availability and timing of results from preclinical studies and clinical trials; the timing of and Hemab’s ability to initiate and enroll patients in clinical trials; whether results from preclinical studies and earlier clinical trials will be predictive of the results of later clinical trials; whether Hemab’s cash resources will be sufficient to fund Hemab’s foreseeable and unforeseeable operating expenses and capital expenditure requirements; as well as the risks and uncertainties identified in Hemab’s filings with the Securities and Exchange Commission (SEC), including Hemab’s most recent Form 10-Q and in subsequent filings Hemab may make with the SEC. In addition, the forward-looking statements included in this press release represent Hemab’s views as of the date of this press release. Hemab anticipates that subsequent events and developments will cause its views to change. However, while Hemab may elect to update these forward-looking statements at some point in the future, it specifically disclaims any obligation to do so. These forward-looking statements should not be relied upon as representing Hemab’s views as of any date subsequent to the date of this press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Deerfield Group </w:t>
      </w:r>
    </w:p>
    <w:p>
      <w:pPr>
        <w:pStyle w:val="TextBody"/>
        <w:bidi w:val="0"/>
        <w:spacing w:before="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peg.rusconi@deerfieldgroup.com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Hemab Therapeutics </w:t>
      </w:r>
    </w:p>
    <w:p>
      <w:pPr>
        <w:pStyle w:val="TextBody"/>
        <w:bidi w:val="0"/>
        <w:spacing w:before="0" w:after="0"/>
        <w:jc w:val="left"/>
        <w:rPr>
          <w:rFonts w:ascii="Times New Roman" w:hAnsi="Times New Roman"/>
          <w:sz w:val="20"/>
        </w:rPr>
      </w:pPr>
      <w:r>
        <w:rPr>
          <w:rFonts w:ascii="Times New Roman" w:hAnsi="Times New Roman"/>
          <w:sz w:val="20"/>
        </w:rPr>
        <w:t xml:space="preserve">Mads Behrndt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investors@hemab.com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Hemab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1"/>
        <w:gridCol w:w="244"/>
        <w:gridCol w:w="140"/>
        <w:gridCol w:w="1144"/>
        <w:gridCol w:w="155"/>
        <w:gridCol w:w="195"/>
        <w:gridCol w:w="140"/>
        <w:gridCol w:w="800"/>
        <w:gridCol w:w="155"/>
        <w:gridCol w:w="195"/>
        <w:gridCol w:w="140"/>
        <w:gridCol w:w="1144"/>
        <w:gridCol w:w="155"/>
        <w:gridCol w:w="195"/>
        <w:gridCol w:w="140"/>
        <w:gridCol w:w="800"/>
        <w:gridCol w:w="162"/>
      </w:tblGrid>
      <w:tr>
        <w:trPr/>
        <w:tc>
          <w:tcPr>
            <w:tcW w:w="4301"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62" w:type="dxa"/>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20,336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12,874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39,797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26,975</w:t>
            </w:r>
          </w:p>
        </w:tc>
        <w:tc>
          <w:tcPr>
            <w:tcW w:w="162"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5,743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3,183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9,894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5,642</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26,079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16,057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49,691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32,617</w:t>
            </w:r>
          </w:p>
        </w:tc>
        <w:tc>
          <w:tcPr>
            <w:tcW w:w="162" w:type="dxa"/>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(26,079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(16,057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(49,691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(32,617</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2,858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4,077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808</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(832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3,517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4,108</w:t>
            </w:r>
          </w:p>
        </w:tc>
        <w:tc>
          <w:tcPr>
            <w:tcW w:w="162" w:type="dxa"/>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2,026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3,852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2,963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4,916</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(24,053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(12,205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(46,728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(27,701</w:t>
            </w:r>
          </w:p>
        </w:tc>
        <w:tc>
          <w:tcPr>
            <w:tcW w:w="162"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(97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186</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(24,150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(12,209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(46,837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(27,515</w:t>
            </w:r>
          </w:p>
        </w:tc>
        <w:tc>
          <w:tcPr>
            <w:tcW w:w="162" w:type="dxa"/>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(12.91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(29.09</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30,111,338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946,000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15,609,236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946,000</w:t>
            </w:r>
          </w:p>
        </w:tc>
        <w:tc>
          <w:tcPr>
            <w:tcW w:w="162"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(24,150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(12,209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(46,837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(27,515</w:t>
            </w:r>
          </w:p>
        </w:tc>
        <w:tc>
          <w:tcPr>
            <w:tcW w:w="162"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unrealized (loss) gain on available-for-sale debt securities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(2,309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(2,923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365</w:t>
            </w:r>
          </w:p>
        </w:tc>
        <w:tc>
          <w:tcPr>
            <w:tcW w:w="162" w:type="dxa"/>
            <w:tcBorders/>
            <w:shd w:fill="CCEEFF" w:val="clear"/>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(26,459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(12,818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(49,760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(27,150</w:t>
            </w:r>
          </w:p>
        </w:tc>
        <w:tc>
          <w:tcPr>
            <w:tcW w:w="162" w:type="dxa"/>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Hemab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Consolidated Balance Sheets Data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1"/>
        <w:gridCol w:w="230"/>
        <w:gridCol w:w="140"/>
        <w:gridCol w:w="811"/>
        <w:gridCol w:w="60"/>
        <w:gridCol w:w="230"/>
        <w:gridCol w:w="195"/>
        <w:gridCol w:w="1230"/>
        <w:gridCol w:w="158"/>
      </w:tblGrid>
      <w:tr>
        <w:trPr/>
        <w:tc>
          <w:tcPr>
            <w:tcW w:w="715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237,366</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87,974</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220,094</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97,511</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6,538</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7,066</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596</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609</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901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1,092</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2,286</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531</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467,781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194,783</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6,232</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5,734</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460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647</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566</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573</w:t>
            </w:r>
          </w:p>
        </w:tc>
        <w:tc>
          <w:tcPr>
            <w:tcW w:w="158" w:type="dxa"/>
            <w:tcBorders/>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6,252</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4,296</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13,510</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11,250</w:t>
            </w:r>
          </w:p>
        </w:tc>
        <w:tc>
          <w:tcPr>
            <w:tcW w:w="158"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 and convertible preference shares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360,168</w:t>
            </w:r>
          </w:p>
        </w:tc>
        <w:tc>
          <w:tcPr>
            <w:tcW w:w="158" w:type="dxa"/>
            <w:tcBorders/>
            <w:shd w:fill="CCEEFF" w:val="clear"/>
            <w:vAlign w:val="bottom"/>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454,271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(176,635</w:t>
            </w:r>
          </w:p>
        </w:tc>
        <w:tc>
          <w:tcPr>
            <w:tcW w:w="158"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0" cy="400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Hemab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Consolidated Statements of Cash Flows Data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7"/>
        <w:gridCol w:w="225"/>
        <w:gridCol w:w="140"/>
        <w:gridCol w:w="875"/>
        <w:gridCol w:w="155"/>
        <w:gridCol w:w="185"/>
        <w:gridCol w:w="140"/>
        <w:gridCol w:w="794"/>
        <w:gridCol w:w="155"/>
        <w:gridCol w:w="185"/>
        <w:gridCol w:w="140"/>
        <w:gridCol w:w="875"/>
        <w:gridCol w:w="159"/>
      </w:tblGrid>
      <w:tr>
        <w:trPr/>
        <w:tc>
          <w:tcPr>
            <w:tcW w:w="617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644" w:type="dxa"/>
            <w:gridSpan w:val="10"/>
            <w:tcBorders/>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617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9" w:type="dxa"/>
            <w:tcBorders/>
            <w:vAlign w:val="bottom"/>
          </w:tcPr>
          <w:p>
            <w:pPr>
              <w:pStyle w:val="TableContents"/>
              <w:bidi w:val="0"/>
              <w:spacing w:before="0" w:after="283"/>
              <w:jc w:val="left"/>
              <w:rPr/>
            </w:pPr>
            <w:r>
              <w:rPr/>
              <w:t> </w:t>
            </w:r>
          </w:p>
        </w:tc>
      </w:tr>
      <w:tr>
        <w:trPr/>
        <w:tc>
          <w:tcPr>
            <w:tcW w:w="6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(44,221</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(28,366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(15,855</w:t>
            </w:r>
          </w:p>
        </w:tc>
        <w:tc>
          <w:tcPr>
            <w:tcW w:w="159" w:type="dxa"/>
            <w:tcBorders/>
            <w:shd w:fill="CCEEFF" w:val="clear"/>
            <w:vAlign w:val="bottom"/>
          </w:tcPr>
          <w:p>
            <w:pPr>
              <w:pStyle w:val="TableContents"/>
              <w:bidi w:val="0"/>
              <w:spacing w:before="0" w:after="283"/>
              <w:jc w:val="left"/>
              <w:rPr/>
            </w:pPr>
            <w:r>
              <w:rPr/>
              <w:t>) </w:t>
            </w:r>
          </w:p>
        </w:tc>
      </w:tr>
      <w:tr>
        <w:trPr/>
        <w:tc>
          <w:tcPr>
            <w:tcW w:w="617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(123,284</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15,508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(138,792</w:t>
            </w:r>
          </w:p>
        </w:tc>
        <w:tc>
          <w:tcPr>
            <w:tcW w:w="159" w:type="dxa"/>
            <w:tcBorders/>
            <w:vAlign w:val="bottom"/>
          </w:tcPr>
          <w:p>
            <w:pPr>
              <w:pStyle w:val="TableContents"/>
              <w:bidi w:val="0"/>
              <w:spacing w:before="0" w:after="283"/>
              <w:jc w:val="left"/>
              <w:rPr/>
            </w:pPr>
            <w:r>
              <w:rPr/>
              <w:t>) </w:t>
            </w:r>
          </w:p>
        </w:tc>
      </w:tr>
      <w:tr>
        <w:trPr/>
        <w:tc>
          <w:tcPr>
            <w:tcW w:w="6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317,119</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317,178</w:t>
            </w:r>
          </w:p>
        </w:tc>
        <w:tc>
          <w:tcPr>
            <w:tcW w:w="159" w:type="dxa"/>
            <w:tcBorders/>
            <w:shd w:fill="CCEEFF" w:val="clear"/>
            <w:vAlign w:val="bottom"/>
          </w:tcPr>
          <w:p>
            <w:pPr>
              <w:pStyle w:val="TableContents"/>
              <w:bidi w:val="0"/>
              <w:spacing w:before="0" w:after="283"/>
              <w:jc w:val="left"/>
              <w:rPr/>
            </w:pPr>
            <w:r>
              <w:rPr/>
              <w:t> </w:t>
            </w:r>
          </w:p>
        </w:tc>
      </w:tr>
      <w:tr>
        <w:trPr/>
        <w:tc>
          <w:tcPr>
            <w:tcW w:w="6177"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on cash and cash equivalents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(222</w:t>
            </w:r>
          </w:p>
        </w:tc>
        <w:tc>
          <w:tcPr>
            <w:tcW w:w="159" w:type="dxa"/>
            <w:tcBorders/>
            <w:vAlign w:val="bottom"/>
          </w:tcPr>
          <w:p>
            <w:pPr>
              <w:pStyle w:val="TableContents"/>
              <w:bidi w:val="0"/>
              <w:spacing w:before="0" w:after="283"/>
              <w:jc w:val="left"/>
              <w:rPr/>
            </w:pPr>
            <w:r>
              <w:rPr/>
              <w:t>) </w:t>
            </w:r>
          </w:p>
        </w:tc>
      </w:tr>
      <w:tr>
        <w:trPr/>
        <w:tc>
          <w:tcPr>
            <w:tcW w:w="617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149,392</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(12,917</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162,309</w:t>
            </w:r>
          </w:p>
        </w:tc>
        <w:tc>
          <w:tcPr>
            <w:tcW w:w="159" w:type="dxa"/>
            <w:tcBorders/>
            <w:shd w:fill="CCEEFF" w:val="clear"/>
            <w:vAlign w:val="bottom"/>
          </w:tcPr>
          <w:p>
            <w:pPr>
              <w:pStyle w:val="TableContents"/>
              <w:bidi w:val="0"/>
              <w:spacing w:before="0" w:after="283"/>
              <w:jc w:val="left"/>
              <w:rPr/>
            </w:pPr>
            <w:r>
              <w:rPr/>
              <w:t> </w:t>
            </w:r>
          </w:p>
        </w:tc>
      </w:tr>
      <w:tr>
        <w:trPr/>
        <w:tc>
          <w:tcPr>
            <w:tcW w:w="617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3715</Words>
  <Characters>21900</Characters>
  <CharactersWithSpaces>26014</CharactersWithSpaces>
  <Paragraphs>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