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Hemab Therapeutics Holdings,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par value $0.0001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05/04/2026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RA Capital Management, L.P.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pacing w:after="0"/>
        <w:tabs>
          <w:tab w:leader="none" w:pos="138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1"/>
          <w:szCs w:val="21"/>
          <w:color w:val="auto"/>
        </w:rPr>
        <w:t>Sole Voting Power</w:t>
      </w:r>
    </w:p>
    <w:p>
      <w:pPr>
        <w:spacing w:after="0" w:line="181" w:lineRule="auto"/>
        <w:tabs>
          <w:tab w:leader="none" w:pos="1140" w:val="left"/>
        </w:tabs>
        <w:rPr>
          <w:sz w:val="20"/>
          <w:szCs w:val="20"/>
          <w:color w:val="auto"/>
        </w:rPr>
      </w:pPr>
      <w:r>
        <w:rPr>
          <w:rFonts w:ascii="Times New Roman" w:cs="Times New Roman" w:eastAsia="Times New Roman" w:hAnsi="Times New Roman"/>
          <w:sz w:val="16"/>
          <w:szCs w:val="16"/>
          <w:color w:val="auto"/>
        </w:rPr>
        <w:t>Shares</w:t>
      </w:r>
      <w:r>
        <w:rPr>
          <w:sz w:val="20"/>
          <w:szCs w:val="20"/>
          <w:color w:val="auto"/>
        </w:rPr>
        <w:tab/>
      </w:r>
      <w:r>
        <w:rPr>
          <w:rFonts w:ascii="Times New Roman" w:cs="Times New Roman" w:eastAsia="Times New Roman" w:hAnsi="Times New Roman"/>
          <w:sz w:val="28"/>
          <w:szCs w:val="28"/>
          <w:color w:val="auto"/>
          <w:vertAlign w:val="subscript"/>
        </w:rPr>
        <w:t>5</w:t>
      </w:r>
    </w:p>
    <w:p>
      <w:pPr>
        <w:spacing w:after="0" w:line="184" w:lineRule="auto"/>
        <w:tabs>
          <w:tab w:leader="none" w:pos="1380" w:val="left"/>
        </w:tabs>
        <w:rPr>
          <w:sz w:val="20"/>
          <w:szCs w:val="20"/>
          <w:color w:val="auto"/>
        </w:rPr>
      </w:pPr>
      <w:r>
        <w:rPr>
          <w:rFonts w:ascii="Times New Roman" w:cs="Times New Roman" w:eastAsia="Times New Roman" w:hAnsi="Times New Roman"/>
          <w:sz w:val="18"/>
          <w:szCs w:val="18"/>
          <w:color w:val="auto"/>
        </w:rPr>
        <w:t>Beneficially</w:t>
      </w:r>
      <w:r>
        <w:rPr>
          <w:sz w:val="20"/>
          <w:szCs w:val="20"/>
          <w:color w:val="auto"/>
        </w:rPr>
        <w:tab/>
      </w:r>
      <w:r>
        <w:rPr>
          <w:rFonts w:ascii="Times New Roman" w:cs="Times New Roman" w:eastAsia="Times New Roman" w:hAnsi="Times New Roman"/>
          <w:sz w:val="34"/>
          <w:szCs w:val="34"/>
          <w:color w:val="auto"/>
          <w:vertAlign w:val="subscript"/>
        </w:rPr>
        <w:t>0.00</w:t>
      </w:r>
    </w:p>
    <w:p>
      <w:pPr>
        <w:sectPr>
          <w:pgSz w:w="11900" w:h="16838" w:orient="portrait"/>
          <w:cols w:equalWidth="0" w:num="1">
            <w:col w:w="10099"/>
          </w:cols>
          <w:pgMar w:left="360" w:top="866" w:right="1440" w:bottom="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7,729,773.00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7,729,773.00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ind w:left="1120"/>
        <w:spacing w:after="0"/>
        <w:rPr>
          <w:sz w:val="20"/>
          <w:szCs w:val="20"/>
          <w:color w:val="auto"/>
        </w:rPr>
      </w:pPr>
      <w:r>
        <w:rPr>
          <w:rFonts w:ascii="Times New Roman" w:cs="Times New Roman" w:eastAsia="Times New Roman" w:hAnsi="Times New Roman"/>
          <w:sz w:val="22"/>
          <w:szCs w:val="22"/>
          <w:color w:val="auto"/>
        </w:rPr>
        <w:t>7,729,773.00</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16.6 %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IA, PN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Peter Kolchinsky</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0099"/>
          </w:cols>
          <w:pgMar w:left="360" w:top="102" w:right="1440" w:bottom="0"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7,729,773.00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7,729,773.00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7,729,773.00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16.6 %</w:t>
      </w:r>
    </w:p>
    <w:p>
      <w:pPr>
        <w:sectPr>
          <w:pgSz w:w="11900" w:h="16838" w:orient="portrait"/>
          <w:cols w:equalWidth="0" w:num="2">
            <w:col w:w="1060" w:space="60"/>
            <w:col w:w="8979"/>
          </w:cols>
          <w:pgMar w:left="360" w:top="102" w:right="1440" w:bottom="0" w:gutter="0" w:footer="0" w:header="0"/>
          <w:type w:val="continuous"/>
        </w:sectPr>
      </w:pPr>
    </w:p>
    <w:bookmarkStart w:id="2" w:name="page3"/>
    <w:bookmarkEnd w:id="2"/>
    <w:p>
      <w:pPr>
        <w:ind w:left="1120" w:right="5159" w:hanging="1112"/>
        <w:spacing w:after="0" w:line="489" w:lineRule="auto"/>
        <w:tabs>
          <w:tab w:leader="none" w:pos="11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Type of Reporting Person (See Instructions) HC, IN</w:t>
      </w:r>
    </w:p>
    <w:p>
      <w:pPr>
        <w:spacing w:after="0" w:line="200" w:lineRule="exact"/>
        <w:rPr>
          <w:sz w:val="20"/>
          <w:szCs w:val="20"/>
          <w:color w:val="auto"/>
        </w:rPr>
      </w:pPr>
    </w:p>
    <w:p>
      <w:pPr>
        <w:spacing w:after="0" w:line="27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Rajeev Shah</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7,729,773.00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7,729,773.00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7,729,773.00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16.6 %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 IN</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RA Capital Healthcare Fund,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20" w:hanging="1112"/>
        <w:spacing w:after="0"/>
        <w:tabs>
          <w:tab w:leader="none" w:pos="1120" w:val="left"/>
        </w:tabs>
        <w:numPr>
          <w:ilvl w:val="0"/>
          <w:numId w:val="4"/>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0099"/>
          </w:cols>
          <w:pgMar w:left="360" w:top="111" w:right="1440" w:bottom="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22"/>
          <w:szCs w:val="22"/>
          <w:color w:val="auto"/>
        </w:rPr>
        <w:t>3</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6,365,783.00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6,365,783.00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6,365,783.00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13.6 %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38" w:orient="portrait"/>
          <w:cols w:equalWidth="0" w:num="2">
            <w:col w:w="1060" w:space="60"/>
            <w:col w:w="10000"/>
          </w:cols>
          <w:pgMar w:left="360" w:top="112" w:right="41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Hemab Therapeutics Holdings,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101 Main Street, Suite 1220, Cambridge, MA, 02142.</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20" w:hanging="912"/>
        <w:spacing w:after="0" w:line="244" w:lineRule="auto"/>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names of the persons filing this report (collectively, the "Reporting Persons") are: RA Capital Management, L.P. ("RA Capital") Peter Kolchinsky ("Dr. Kolchinsky") Rajeev Shah ("Mr. Shah") RA Capital Healthcare Fund, L.P. (the "Fund") The Reporting Persons expressly disclaim status as a "group" for purposes of this Schedule 13G.</w:t>
      </w:r>
    </w:p>
    <w:p>
      <w:pPr>
        <w:sectPr>
          <w:pgSz w:w="11900" w:h="16838" w:orient="portrait"/>
          <w:cols w:equalWidth="0" w:num="1">
            <w:col w:w="11120"/>
          </w:cols>
          <w:pgMar w:left="360" w:top="112" w:right="419" w:bottom="0" w:gutter="0" w:footer="0" w:header="0"/>
          <w:type w:val="continuous"/>
        </w:sect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ind w:right="280"/>
        <w:spacing w:after="0" w:line="256" w:lineRule="auto"/>
        <w:rPr>
          <w:sz w:val="20"/>
          <w:szCs w:val="20"/>
          <w:color w:val="auto"/>
        </w:rPr>
      </w:pPr>
      <w:r>
        <w:rPr>
          <w:rFonts w:ascii="Times New Roman" w:cs="Times New Roman" w:eastAsia="Times New Roman" w:hAnsi="Times New Roman"/>
          <w:sz w:val="22"/>
          <w:szCs w:val="22"/>
          <w:color w:val="auto"/>
        </w:rPr>
        <w:t>The address of the principal business office of each of the Reporting Persons is: c/o RA Capital Management, L.P., 200 Berkeley Street, 18th Floor, Boston MA 02116</w:t>
      </w: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RA Capital and the Fund are Delaware limited partnerships. Dr. Kolchinsky and Mr. Shah are United States citizens.</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 par value $0.0001 per share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If this statement is filed pursuant to §§ 240.13d-1(b) or 240.13d-2(b) or (c), check whether the person filing is a:</w:t>
      </w:r>
    </w:p>
    <w:p>
      <w:pPr>
        <w:spacing w:after="0" w:line="58" w:lineRule="exact"/>
        <w:rPr>
          <w:sz w:val="20"/>
          <w:szCs w:val="20"/>
          <w:color w:val="auto"/>
        </w:rPr>
      </w:pPr>
    </w:p>
    <w:p>
      <w:pPr>
        <w:ind w:left="380" w:right="3620"/>
        <w:spacing w:after="0" w:line="322" w:lineRule="auto"/>
        <w:rPr>
          <w:sz w:val="20"/>
          <w:szCs w:val="20"/>
          <w:color w:val="auto"/>
        </w:rPr>
      </w:pPr>
      <w:r>
        <w:rPr>
          <w:rFonts w:ascii="Times New Roman" w:cs="Times New Roman" w:eastAsia="Times New Roman" w:hAnsi="Times New Roman"/>
          <w:sz w:val="22"/>
          <w:szCs w:val="22"/>
          <w:color w:val="auto"/>
        </w:rPr>
        <w:t>Broker or dealer registered under section 15 of the Act (15 U.S.C. 78o); 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-421640</wp:posOffset>
            </wp:positionV>
            <wp:extent cx="128905" cy="12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-224155</wp:posOffset>
            </wp:positionV>
            <wp:extent cx="128905" cy="12827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2">
            <w:col w:w="620" w:space="300"/>
            <w:col w:w="10200"/>
          </w:cols>
          <w:pgMar w:left="360" w:top="112" w:right="419" w:bottom="0" w:gutter="0" w:footer="0" w:header="0"/>
          <w:type w:val="continuous"/>
        </w:sectPr>
      </w:pPr>
    </w:p>
    <w:bookmarkStart w:id="4" w:name="page5"/>
    <w:bookmarkEnd w:id="4"/>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6"/>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ind w:left="920"/>
        <w:spacing w:after="0" w:line="243" w:lineRule="auto"/>
        <w:rPr>
          <w:sz w:val="20"/>
          <w:szCs w:val="20"/>
          <w:color w:val="auto"/>
        </w:rPr>
      </w:pPr>
      <w:r>
        <w:rPr>
          <w:rFonts w:ascii="Times New Roman" w:cs="Times New Roman" w:eastAsia="Times New Roman" w:hAnsi="Times New Roman"/>
          <w:sz w:val="21"/>
          <w:szCs w:val="21"/>
          <w:color w:val="auto"/>
        </w:rPr>
        <w:t>Row 9 of each Reporting Person's cover page to this Schedule 13G sets forth the aggregate number of shares of common stock of the Issuer beneficially owned by such Reporting Person and is incorporated by reference. The Reporting Persons' ownership of the Issuer's securities includes (i) 6,365,783 shares of common stock held directly by the Fund; (ii)1,009,052 shares of common stock held directly by the RA Capital Nexus II Fund, L.P. (the "Nexus Fund II"); and (iii) 354,938 shares of common stock held directly by the RA Capital Nexus IV Fund, L.P. (the "Nexus Fund IV"). RA Capital Healthcare Fund GP, LLC is the general partner of the Fund, RA Capital Nexus Fund II GP, LLC is the general partner of the Nexus Fund II and RA Capital Nexus Fund IV GP, LLC is the general partner of the Nexus Fund IV. The general partner of RA Capital is RA Capital Management GP, LLC, of which Dr. Kolchinsky and Mr. Shah are the controlling persons. RA Capital serves as investment adviser for each of the Fund, The Nexus Fund II and the Nexus Fund IV and may be deemed a beneficial owner, for purposes of Section 13(d) of the Act, of</w:t>
      </w:r>
    </w:p>
    <w:p>
      <w:pPr>
        <w:spacing w:after="0" w:line="9" w:lineRule="exact"/>
        <w:rPr>
          <w:sz w:val="20"/>
          <w:szCs w:val="20"/>
          <w:color w:val="auto"/>
        </w:rPr>
      </w:pPr>
    </w:p>
    <w:p>
      <w:pPr>
        <w:ind w:left="920" w:right="100" w:hanging="912"/>
        <w:spacing w:after="0" w:line="231" w:lineRule="auto"/>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securities of the Issuer held by the Fund, the Nexus Fund II or the Nexus Fund IV. Each of the Fund, the Nexus Fund II and the Nexus Fund IV has delegated to RA Capital the sole power to vote and the sole power to dispose of all securities held in its portfolio, including the shares of the Issuer's common stock reported herein. Because each of the Fund, the Nexus Fund II and the Nexus Fund IV has divested itself of voting and investment power over the reported securities it holds and may not revoke that delegation on less than 61 days' notice, each of the Fund, the Nexus Fund II and the Nexus Fund IV disclaims beneficial ownership of the securities it holds for purposes of Section 13(d) of the Act and therefore disclaims any obligation to report ownership of the reported securities under Section 13(d) of the Act. As managers of RA Capital, Dr. Kolchinsky and Mr. Shah may be deemed beneficial owners, for purposes of Section 13(d) of the Act, of any securities of the Issuer beneficially owned by RA Capital. RA Capital, Dr. Kolchinsky, and Mr. Shah disclaim beneficial ownership of the securities reported in this Schedule 13G other than for the purpose of determining their obligations under Section 13(d) of the Act, and the filing of this Schedule 13G shall not be deemed an admission that either RA Capital, Dr. Kolchinsky, or Mr. Shah is the beneficial owner of such securities for any other purpose.</w:t>
      </w:r>
    </w:p>
    <w:p>
      <w:pPr>
        <w:spacing w:after="0" w:line="23"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w:t>
      </w:r>
    </w:p>
    <w:p>
      <w:pPr>
        <w:spacing w:after="0" w:line="233" w:lineRule="exact"/>
        <w:rPr>
          <w:rFonts w:ascii="Times New Roman" w:cs="Times New Roman" w:eastAsia="Times New Roman" w:hAnsi="Times New Roman"/>
          <w:sz w:val="22"/>
          <w:szCs w:val="22"/>
          <w:color w:val="auto"/>
        </w:rPr>
      </w:pPr>
    </w:p>
    <w:p>
      <w:pPr>
        <w:ind w:left="920" w:right="60" w:hanging="912"/>
        <w:spacing w:after="0" w:line="201" w:lineRule="auto"/>
        <w:tabs>
          <w:tab w:leader="none" w:pos="920" w:val="left"/>
        </w:tabs>
        <w:numPr>
          <w:ilvl w:val="0"/>
          <w:numId w:val="8"/>
        </w:numPr>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1"/>
          <w:szCs w:val="21"/>
          <w:color w:val="auto"/>
        </w:rPr>
        <w:t>Row 11 of each Reporting Person's cover page to this Schedule 13G sets forth the percentages of shares of common stock of the Issuer beneficially owned by such Reporting Person and is incorporated by reference. The percentage set forth in each row 11 is based upon 46,705,410 shares outstanding as of May 4, 2026, as reported in the Issuer's final prospectus dated April 30, 2026 filed with the Securities and Exchange Commission (the "SEC") on May 1, 2025. %</w:t>
      </w:r>
    </w:p>
    <w:p>
      <w:pPr>
        <w:spacing w:after="0" w:line="14" w:lineRule="exact"/>
        <w:rPr>
          <w:rFonts w:ascii="Times New Roman" w:cs="Times New Roman" w:eastAsia="Times New Roman" w:hAnsi="Times New Roman"/>
          <w:sz w:val="42"/>
          <w:szCs w:val="42"/>
          <w:color w:val="auto"/>
          <w:vertAlign w:val="subscript"/>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right="280"/>
        <w:spacing w:after="0" w:line="282" w:lineRule="auto"/>
        <w:rPr>
          <w:sz w:val="20"/>
          <w:szCs w:val="20"/>
          <w:color w:val="auto"/>
        </w:rPr>
      </w:pPr>
      <w:r>
        <w:rPr>
          <w:rFonts w:ascii="Times New Roman" w:cs="Times New Roman" w:eastAsia="Times New Roman" w:hAnsi="Times New Roman"/>
          <w:sz w:val="21"/>
          <w:szCs w:val="21"/>
          <w:color w:val="auto"/>
        </w:rPr>
        <w:t>Row 5 of each Reporting Person's cover page to this Schedule 13G sets forth the sole power to vote or to direct the vote of securities of the Issuer beneficially owned by such Reporting Person and is incorporated by reference.</w:t>
      </w:r>
    </w:p>
    <w:p>
      <w:pPr>
        <w:spacing w:after="0" w:line="216"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3" w:lineRule="exact"/>
        <w:rPr>
          <w:sz w:val="20"/>
          <w:szCs w:val="20"/>
          <w:color w:val="auto"/>
        </w:rPr>
      </w:pPr>
    </w:p>
    <w:p>
      <w:pPr>
        <w:ind w:left="920" w:right="80"/>
        <w:spacing w:after="0" w:line="258" w:lineRule="auto"/>
        <w:rPr>
          <w:sz w:val="20"/>
          <w:szCs w:val="20"/>
          <w:color w:val="auto"/>
        </w:rPr>
      </w:pPr>
      <w:r>
        <w:rPr>
          <w:rFonts w:ascii="Times New Roman" w:cs="Times New Roman" w:eastAsia="Times New Roman" w:hAnsi="Times New Roman"/>
          <w:sz w:val="22"/>
          <w:szCs w:val="22"/>
          <w:color w:val="auto"/>
        </w:rPr>
        <w:t>Row 6 of each Reporting Person's cover page to this Schedule 13G sets forth the shared power to vote or to direct the vote of securities of the Issuer beneficially owned by such Reporting Person and is incorporated by reference.</w:t>
      </w:r>
    </w:p>
    <w:p>
      <w:pPr>
        <w:spacing w:after="0" w:line="23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(iii) Sole power to dispose or to direct the disposition of:</w:t>
      </w:r>
    </w:p>
    <w:p>
      <w:pPr>
        <w:spacing w:after="0" w:line="233" w:lineRule="exact"/>
        <w:rPr>
          <w:sz w:val="20"/>
          <w:szCs w:val="20"/>
          <w:color w:val="auto"/>
        </w:rPr>
      </w:pPr>
    </w:p>
    <w:p>
      <w:pPr>
        <w:ind w:left="920" w:right="20"/>
        <w:spacing w:after="0" w:line="282" w:lineRule="auto"/>
        <w:rPr>
          <w:sz w:val="20"/>
          <w:szCs w:val="20"/>
          <w:color w:val="auto"/>
        </w:rPr>
      </w:pPr>
      <w:r>
        <w:rPr>
          <w:rFonts w:ascii="Times New Roman" w:cs="Times New Roman" w:eastAsia="Times New Roman" w:hAnsi="Times New Roman"/>
          <w:sz w:val="21"/>
          <w:szCs w:val="21"/>
          <w:color w:val="auto"/>
        </w:rPr>
        <w:t>Row 7 of each Reporting Person's cover page to this Schedule 13G sets forth the sole power to dispose or to direct the disposition of securities of the Issuer beneficially owned by such Reporting Person and is incorporated by reference.</w:t>
      </w:r>
    </w:p>
    <w:p>
      <w:pPr>
        <w:spacing w:after="0" w:line="216"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(iv) Shared power to dispose or to direct the disposition of:</w:t>
      </w:r>
    </w:p>
    <w:p>
      <w:pPr>
        <w:sectPr>
          <w:pgSz w:w="11900" w:h="16838" w:orient="portrait"/>
          <w:cols w:equalWidth="0" w:num="1">
            <w:col w:w="11140"/>
          </w:cols>
          <w:pgMar w:left="360" w:top="126" w:right="399" w:bottom="46" w:gutter="0" w:footer="0" w:header="0"/>
        </w:sectPr>
      </w:pPr>
    </w:p>
    <w:bookmarkStart w:id="5" w:name="page6"/>
    <w:bookmarkEnd w:id="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ind w:right="120"/>
        <w:spacing w:after="0" w:line="244" w:lineRule="auto"/>
        <w:rPr>
          <w:sz w:val="20"/>
          <w:szCs w:val="20"/>
          <w:color w:val="auto"/>
        </w:rPr>
      </w:pPr>
      <w:r>
        <w:rPr>
          <w:rFonts w:ascii="Times New Roman" w:cs="Times New Roman" w:eastAsia="Times New Roman" w:hAnsi="Times New Roman"/>
          <w:sz w:val="22"/>
          <w:szCs w:val="22"/>
          <w:color w:val="auto"/>
        </w:rPr>
        <w:t>Row 8 of each Reporting Person's cover page to this Schedule 13G sets forth the shared power to dispose or to direct the disposition of securities of the Issuer beneficially owned by such Reporting Person and is incorporated by reference.</w:t>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20"/>
          </w:cols>
          <w:pgMar w:left="360" w:top="111" w:right="399" w:bottom="1440" w:gutter="0" w:footer="0" w:header="0"/>
        </w:sectPr>
      </w:pPr>
    </w:p>
    <w:p>
      <w:pPr>
        <w:ind w:left="940" w:right="16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RA Capital Management, L.P.</w:t>
      </w:r>
    </w:p>
    <w:p>
      <w:pPr>
        <w:spacing w:after="0" w:line="152" w:lineRule="exact"/>
        <w:rPr>
          <w:sz w:val="20"/>
          <w:szCs w:val="20"/>
          <w:color w:val="auto"/>
        </w:rPr>
      </w:pPr>
    </w:p>
    <w:p>
      <w:pPr>
        <w:ind w:left="5040"/>
        <w:spacing w:after="0"/>
        <w:tabs>
          <w:tab w:leader="none" w:pos="61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Peter Kolchinsky</w:t>
      </w:r>
    </w:p>
    <w:p>
      <w:pPr>
        <w:spacing w:after="0" w:line="44"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22"/>
          <w:szCs w:val="22"/>
          <w:color w:val="auto"/>
        </w:rPr>
        <w:t>Name/Title: By Peter Kolchinsky, Authorized Signatory</w:t>
      </w:r>
    </w:p>
    <w:p>
      <w:pPr>
        <w:spacing w:after="0" w:line="44" w:lineRule="exact"/>
        <w:rPr>
          <w:sz w:val="20"/>
          <w:szCs w:val="20"/>
          <w:color w:val="auto"/>
        </w:rPr>
      </w:pPr>
    </w:p>
    <w:p>
      <w:pPr>
        <w:ind w:left="5040"/>
        <w:spacing w:after="0"/>
        <w:tabs>
          <w:tab w:leader="none" w:pos="61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05/11/2026</w:t>
      </w:r>
    </w:p>
    <w:p>
      <w:pPr>
        <w:spacing w:after="0" w:line="152"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22"/>
          <w:szCs w:val="22"/>
          <w:color w:val="auto"/>
        </w:rPr>
        <w:t>Peter Kolchinsky</w:t>
      </w:r>
    </w:p>
    <w:p>
      <w:pPr>
        <w:spacing w:after="0" w:line="152" w:lineRule="exact"/>
        <w:rPr>
          <w:sz w:val="20"/>
          <w:szCs w:val="20"/>
          <w:color w:val="auto"/>
        </w:rPr>
      </w:pPr>
    </w:p>
    <w:p>
      <w:pPr>
        <w:ind w:left="3040"/>
        <w:spacing w:after="0"/>
        <w:tabs>
          <w:tab w:leader="none" w:pos="41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Peter Kolchinsky</w:t>
      </w:r>
    </w:p>
    <w:p>
      <w:pPr>
        <w:spacing w:after="0" w:line="44"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22"/>
          <w:szCs w:val="22"/>
          <w:color w:val="auto"/>
        </w:rPr>
        <w:t>Name/Title: Peter Kolchinsky</w:t>
      </w:r>
    </w:p>
    <w:p>
      <w:pPr>
        <w:spacing w:after="0" w:line="44" w:lineRule="exact"/>
        <w:rPr>
          <w:sz w:val="20"/>
          <w:szCs w:val="20"/>
          <w:color w:val="auto"/>
        </w:rPr>
      </w:pPr>
    </w:p>
    <w:p>
      <w:pPr>
        <w:ind w:left="3040"/>
        <w:spacing w:after="0"/>
        <w:tabs>
          <w:tab w:leader="none" w:pos="41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05/11/2026</w:t>
      </w:r>
    </w:p>
    <w:p>
      <w:pPr>
        <w:spacing w:after="0" w:line="15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2"/>
          <w:szCs w:val="22"/>
          <w:color w:val="auto"/>
        </w:rPr>
        <w:t>Rajeev Shah</w:t>
      </w:r>
    </w:p>
    <w:p>
      <w:pPr>
        <w:spacing w:after="0" w:line="152" w:lineRule="exact"/>
        <w:rPr>
          <w:sz w:val="20"/>
          <w:szCs w:val="20"/>
          <w:color w:val="auto"/>
        </w:rPr>
      </w:pPr>
    </w:p>
    <w:p>
      <w:pPr>
        <w:ind w:left="2620"/>
        <w:spacing w:after="0"/>
        <w:tabs>
          <w:tab w:leader="none" w:pos="37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Rajeev Shah</w:t>
      </w:r>
    </w:p>
    <w:p>
      <w:pPr>
        <w:spacing w:after="0" w:line="44"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22"/>
          <w:szCs w:val="22"/>
          <w:color w:val="auto"/>
        </w:rPr>
        <w:t>Name/Title: Rajeev Shah</w:t>
      </w:r>
    </w:p>
    <w:p>
      <w:pPr>
        <w:spacing w:after="0" w:line="44" w:lineRule="exact"/>
        <w:rPr>
          <w:sz w:val="20"/>
          <w:szCs w:val="20"/>
          <w:color w:val="auto"/>
        </w:rPr>
      </w:pPr>
    </w:p>
    <w:p>
      <w:pPr>
        <w:ind w:left="2620"/>
        <w:spacing w:after="0"/>
        <w:tabs>
          <w:tab w:leader="none" w:pos="37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05/11/2026</w:t>
      </w:r>
    </w:p>
    <w:p>
      <w:pPr>
        <w:spacing w:after="0" w:line="152"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22"/>
          <w:szCs w:val="22"/>
          <w:color w:val="auto"/>
        </w:rPr>
        <w:t>RA Capital Healthcare Fund, L.P.</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Peter Kolchinsky</w:t>
      </w:r>
    </w:p>
    <w:p>
      <w:pPr>
        <w:ind w:left="566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By RA Capital Healthcare Fund GP, LLC, its</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General Partner, By Peter Kolchinsky, Manager</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05/11/2026</w:t>
      </w:r>
    </w:p>
    <w:p>
      <w:pPr>
        <w:spacing w:after="0" w:line="108" w:lineRule="exact"/>
        <w:rPr>
          <w:sz w:val="20"/>
          <w:szCs w:val="20"/>
          <w:color w:val="auto"/>
        </w:rPr>
      </w:pPr>
    </w:p>
    <w:p>
      <w:pPr>
        <w:jc w:val="center"/>
        <w:ind w:right="806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Exhibit 99.1 Joint Filing Agreement</w:t>
      </w:r>
    </w:p>
    <w:p>
      <w:pPr>
        <w:sectPr>
          <w:pgSz w:w="11900" w:h="16838" w:orient="portrait"/>
          <w:cols w:equalWidth="0" w:num="1">
            <w:col w:w="11140"/>
          </w:cols>
          <w:pgMar w:left="360" w:top="111" w:right="399" w:bottom="1440" w:gutter="0" w:footer="0" w:header="0"/>
          <w:type w:val="continuous"/>
        </w:sectPr>
      </w:pPr>
    </w:p>
    <w:bookmarkStart w:id="6" w:name="page7"/>
    <w:bookmarkEnd w:id="6"/>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JOINT FILING AGREEMENT</w:t>
      </w:r>
    </w:p>
    <w:p>
      <w:pPr>
        <w:spacing w:after="0" w:line="237"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2"/>
          <w:szCs w:val="22"/>
          <w:color w:val="auto"/>
        </w:rPr>
        <w:t>This Joint Filing Agreement, dated as of May 11, 2026, is by and among RA Capital Management, L.P., Peter Kolchinsky, Rajeev Shah and RA Capital Healthcare Fund, L.P. (the foregoing are collectively referred to herein as the “Filers”).</w:t>
      </w:r>
    </w:p>
    <w:p>
      <w:pPr>
        <w:spacing w:after="0" w:line="185" w:lineRule="exact"/>
        <w:rPr>
          <w:sz w:val="20"/>
          <w:szCs w:val="20"/>
          <w:color w:val="auto"/>
        </w:rPr>
      </w:pPr>
    </w:p>
    <w:p>
      <w:pPr>
        <w:jc w:val="both"/>
        <w:ind w:right="20"/>
        <w:spacing w:after="0" w:line="244" w:lineRule="auto"/>
        <w:rPr>
          <w:sz w:val="20"/>
          <w:szCs w:val="20"/>
          <w:color w:val="auto"/>
        </w:rPr>
      </w:pPr>
      <w:r>
        <w:rPr>
          <w:rFonts w:ascii="Times New Roman" w:cs="Times New Roman" w:eastAsia="Times New Roman" w:hAnsi="Times New Roman"/>
          <w:sz w:val="22"/>
          <w:szCs w:val="22"/>
          <w:color w:val="auto"/>
        </w:rPr>
        <w:t>Each of the Filers may be required to file with the United States Securities and Exchange Commission a statement on Schedule 13G and/or 13D with respect to the common stock, $0.0001 par value per share of Hemab Therapeutics Holdings, Inc. beneficially owned by them from time to time.</w:t>
      </w:r>
    </w:p>
    <w:p>
      <w:pPr>
        <w:spacing w:after="0" w:line="20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1"/>
          <w:szCs w:val="21"/>
          <w:color w:val="auto"/>
        </w:rPr>
        <w:t>Pursuant to and in accordance with Rule 13(d)(1)(k) promulgated under the Securities Exchange Act of 1934, as amended, the Filers hereby agree to file a single statement on Schedule 13G and/or 13D (and any amendments thereto) on behalf of each of such parties, and hereby further agree to file this Joint Filing Agreement as an exhibit to such statement, as required by such rule.</w:t>
      </w:r>
    </w:p>
    <w:p>
      <w:pPr>
        <w:spacing w:after="0" w:line="18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This Joint Filing Agreement may be terminated by any of the Filers upon one week’s prior written notice or such lesser period of notice as the Filers may mutually agree.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Executed and delivered as of the date first above written.</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RA CAPITAL MANAGEMENT, L.P.</w:t>
      </w:r>
    </w:p>
    <w:p>
      <w:pPr>
        <w:spacing w:after="0" w:line="237"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2"/>
          <w:szCs w:val="22"/>
          <w:u w:val="single" w:color="auto"/>
          <w:color w:val="auto"/>
        </w:rPr>
        <w:t>/s/ Peter Kolchinsky</w:t>
      </w:r>
    </w:p>
    <w:p>
      <w:pPr>
        <w:spacing w:after="0" w:line="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Name: Peter Kolchinsky</w:t>
      </w:r>
    </w:p>
    <w:p>
      <w:pPr>
        <w:ind w:left="660"/>
        <w:spacing w:after="0"/>
        <w:rPr>
          <w:sz w:val="20"/>
          <w:szCs w:val="20"/>
          <w:color w:val="auto"/>
        </w:rPr>
      </w:pPr>
      <w:r>
        <w:rPr>
          <w:rFonts w:ascii="Times New Roman" w:cs="Times New Roman" w:eastAsia="Times New Roman" w:hAnsi="Times New Roman"/>
          <w:sz w:val="22"/>
          <w:szCs w:val="22"/>
          <w:color w:val="auto"/>
        </w:rPr>
        <w:t>Title:  Authorized Signatory</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PETER KOLCHINSKY</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/s/ Peter Kolchinsky</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RAJEEV SHAH</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/s/ Rajeev Shah</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RA CAPITAL HEALTHCARE FUND, L.P.</w:t>
      </w:r>
    </w:p>
    <w:p>
      <w:pPr>
        <w:spacing w:after="0" w:line="237"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2"/>
          <w:szCs w:val="22"/>
          <w:color w:val="auto"/>
        </w:rPr>
        <w:t>By:</w:t>
        <w:tab/>
        <w:t>RA Capital Healthcare Fund GP, LLC</w:t>
      </w:r>
    </w:p>
    <w:p>
      <w:pPr>
        <w:spacing w:after="0" w:line="14"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2"/>
          <w:szCs w:val="22"/>
          <w:color w:val="auto"/>
        </w:rPr>
        <w:t>Its:</w:t>
      </w:r>
      <w:r>
        <w:rPr>
          <w:sz w:val="20"/>
          <w:szCs w:val="20"/>
          <w:color w:val="auto"/>
        </w:rPr>
        <w:tab/>
      </w:r>
      <w:r>
        <w:rPr>
          <w:rFonts w:ascii="Times New Roman" w:cs="Times New Roman" w:eastAsia="Times New Roman" w:hAnsi="Times New Roman"/>
          <w:sz w:val="22"/>
          <w:szCs w:val="22"/>
          <w:color w:val="auto"/>
        </w:rPr>
        <w:t>General Partner</w:t>
      </w:r>
    </w:p>
    <w:p>
      <w:pPr>
        <w:spacing w:after="0" w:line="209"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2"/>
          <w:szCs w:val="22"/>
          <w:u w:val="single" w:color="auto"/>
          <w:color w:val="auto"/>
        </w:rPr>
        <w:t>/s/ Peter Kolchinsky</w:t>
      </w:r>
    </w:p>
    <w:p>
      <w:pPr>
        <w:spacing w:after="0" w:line="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Name: Peter Kolchinsky</w:t>
      </w:r>
    </w:p>
    <w:p>
      <w:pPr>
        <w:ind w:left="660"/>
        <w:spacing w:after="0"/>
        <w:rPr>
          <w:sz w:val="20"/>
          <w:szCs w:val="20"/>
          <w:color w:val="auto"/>
        </w:rPr>
      </w:pPr>
      <w:r>
        <w:rPr>
          <w:rFonts w:ascii="Times New Roman" w:cs="Times New Roman" w:eastAsia="Times New Roman" w:hAnsi="Times New Roman"/>
          <w:sz w:val="22"/>
          <w:szCs w:val="22"/>
          <w:color w:val="auto"/>
        </w:rPr>
        <w:t>Title:  Manager</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38E1F29"/>
    <w:multiLevelType w:val="hybridMultilevel"/>
    <w:lvl w:ilvl="0">
      <w:lvlJc w:val="left"/>
      <w:lvlText w:val="2"/>
      <w:numFmt w:val="bullet"/>
      <w:start w:val="1"/>
    </w:lvl>
  </w:abstractNum>
  <w:abstractNum w:abstractNumId="1">
    <w:nsid w:val="46E87CCD"/>
    <w:multiLevelType w:val="hybridMultilevel"/>
    <w:lvl w:ilvl="0">
      <w:lvlJc w:val="left"/>
      <w:lvlText w:val="3"/>
      <w:numFmt w:val="bullet"/>
      <w:start w:val="1"/>
    </w:lvl>
  </w:abstractNum>
  <w:abstractNum w:abstractNumId="2">
    <w:nsid w:val="3D1B58BA"/>
    <w:multiLevelType w:val="hybridMultilevel"/>
    <w:lvl w:ilvl="0">
      <w:lvlJc w:val="left"/>
      <w:lvlText w:val="%1"/>
      <w:numFmt w:val="decimal"/>
      <w:start w:val="12"/>
    </w:lvl>
  </w:abstractNum>
  <w:abstractNum w:abstractNumId="3">
    <w:nsid w:val="507ED7AB"/>
    <w:multiLevelType w:val="hybridMultilevel"/>
    <w:lvl w:ilvl="0">
      <w:lvlJc w:val="left"/>
      <w:lvlText w:val="2"/>
      <w:numFmt w:val="bullet"/>
      <w:start w:val="1"/>
    </w:lvl>
  </w:abstractNum>
  <w:abstractNum w:abstractNumId="4">
    <w:nsid w:val="2EB141F2"/>
    <w:multiLevelType w:val="hybridMultilevel"/>
    <w:lvl w:ilvl="0">
      <w:lvlJc w:val="left"/>
      <w:lvlText w:val="(%1)"/>
      <w:numFmt w:val="lowerLetter"/>
      <w:start w:val="1"/>
    </w:lvl>
  </w:abstractNum>
  <w:abstractNum w:abstractNumId="5">
    <w:nsid w:val="41B71EFB"/>
    <w:multiLevelType w:val="hybridMultilevel"/>
    <w:lvl w:ilvl="0">
      <w:lvlJc w:val="left"/>
      <w:lvlText w:val="(%1)"/>
      <w:numFmt w:val="lowerLetter"/>
      <w:start w:val="3"/>
    </w:lvl>
  </w:abstractNum>
  <w:abstractNum w:abstractNumId="6">
    <w:nsid w:val="79E2A9E3"/>
    <w:multiLevelType w:val="hybridMultilevel"/>
    <w:lvl w:ilvl="0">
      <w:lvlJc w:val="left"/>
      <w:lvlText w:val="(%1)"/>
      <w:numFmt w:val="lowerLetter"/>
      <w:start w:val="11"/>
    </w:lvl>
  </w:abstractNum>
  <w:abstractNum w:abstractNumId="7">
    <w:nsid w:val="7545E146"/>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2026-05-11T16:48:06Z</dcterms:created>
  <dcterms:modified xsi:type="dcterms:W3CDTF">2026-05-11T16:48:06Z</dcterms:modified>
</cp:coreProperties>
</file>