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Hemab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28 Tudor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EC4Y 0AY</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4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866" w:right="339" w:bottom="42"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AI DEN-MAB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10.4 %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Row 13. Based on an aggregate of 46,705,410 shares of Common Stock outstanding immediately following the</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Issuer's initial public offering, which assumes full exercise of the underwriters' option to purchase additional shares</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of Common Stock, as reported in the Issuer's prospectdus filed pursuant to Rule 424(b)(4) with the Securities and</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Exchange Commission (the "SEC") on May 1,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08" w:right="339" w:bottom="221"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4,876,344.00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4,876,344.00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Row 13. Based on an aggregate of 46,705,410 shares of Common Stock outstanding immediately following the</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8"/>
              </w:rPr>
              <w:t>Issuer's initial public offering, which assumes full exercise of the underwriters' option to purchase additional shares</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w w:val="99"/>
              </w:rPr>
              <w:t>of Common Stock, as reported in the Issuer's prospectdus filed pursuant to Rule 424(b)(4) with the SEC on May 1,</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AI Biotechnology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3" w:name="page4"/>
    <w:bookmarkEnd w:id="3"/>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Row 13. Based on an aggregate of 46,705,410 shares of Common Stock outstanding immediately following the</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8"/>
              </w:rPr>
              <w:t>Issuer's initial public offering, which assumes full exercise of the underwriters' option to purchase additional shares</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w w:val="99"/>
              </w:rPr>
              <w:t>of Common Stock, as reported in the Issuer's prospectdus filed pursuant to Rule 424(b)(4) with the SEC on May 1,</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4,876,344.00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4" w:name="page5"/>
    <w:bookmarkEnd w:id="4"/>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4,876,344.00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4,876,344.00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Row 13. Based on an aggregate of 46,705,410 shares of Common Stock outstanding immediately following the</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8"/>
              </w:rPr>
              <w:t>Issuer's initial public offering, which assumes full exercise of the underwriters' option to purchase additional shares</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w w:val="99"/>
              </w:rPr>
              <w:t>of Common Stock, as reported in the Issuer's prospectdus filed pursuant to Rule 424(b)(4) with the SEC on May 1,</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4,876,344.00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4,876,344.00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4,876,344.00</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Row 13. Based on an aggregate of 46,705,410 shares of Common Stock outstanding immediately following the Issuer's initial public offering, which assumes full exercise of the underwriters' option to purchase additional shares of Common Stock, as reported in the Issuer's prospectdus filed pursuant to Rule 424(b)(4) with the SEC on May 1, 2026.</w:t>
      </w:r>
    </w:p>
    <w:p>
      <w:pPr>
        <w:spacing w:after="0" w:line="200" w:lineRule="exact"/>
        <w:rPr>
          <w:sz w:val="20"/>
          <w:szCs w:val="20"/>
          <w:color w:val="auto"/>
        </w:rPr>
      </w:pPr>
    </w:p>
    <w:p>
      <w:pPr>
        <w:sectPr>
          <w:pgSz w:w="11900" w:h="16846"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Hemab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101 Main Street, Suite 1220, Cambridge, MASSACHUSETTS , 02142.</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is  being  filed  by  AI  DEN-MAB  LLC  ("AI  DMAB"),  AI  Biotechnology  LLC  ("AI</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Biotechnology"), Access Industries Holdings LLC ("AIH"), Access Industries Management, LLC ("AIM") and Len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Blavatnik (collectively, the Reporting Persons", and each, a "Reporting Person"), in respect of the common stock, par</w:t>
      </w:r>
    </w:p>
    <w:p>
      <w:pPr>
        <w:spacing w:after="0" w:line="1" w:lineRule="exact"/>
        <w:rPr>
          <w:sz w:val="20"/>
          <w:szCs w:val="20"/>
          <w:color w:val="auto"/>
        </w:rPr>
      </w:pPr>
    </w:p>
    <w:p>
      <w:pPr>
        <w:ind w:left="40" w:right="1500" w:firstLine="952"/>
        <w:spacing w:after="0" w:line="283" w:lineRule="auto"/>
        <w:rPr>
          <w:sz w:val="20"/>
          <w:szCs w:val="20"/>
          <w:color w:val="auto"/>
        </w:rPr>
      </w:pPr>
      <w:r>
        <w:rPr>
          <w:rFonts w:ascii="Times New Roman" w:cs="Times New Roman" w:eastAsia="Times New Roman" w:hAnsi="Times New Roman"/>
          <w:sz w:val="22"/>
          <w:szCs w:val="22"/>
          <w:color w:val="auto"/>
        </w:rPr>
        <w:t>value $0.0001 per share (the "Common Stock") of Hemab Therapeutics Holdings, Inc. (the "Issuer"). Item 2. Identity and Background</w:t>
      </w:r>
    </w:p>
    <w:p>
      <w:pPr>
        <w:ind w:left="960" w:right="180"/>
        <w:spacing w:after="0" w:line="249" w:lineRule="auto"/>
        <w:rPr>
          <w:sz w:val="20"/>
          <w:szCs w:val="20"/>
          <w:color w:val="auto"/>
        </w:rPr>
      </w:pPr>
      <w:r>
        <w:rPr>
          <w:rFonts w:ascii="Times New Roman" w:cs="Times New Roman" w:eastAsia="Times New Roman" w:hAnsi="Times New Roman"/>
          <w:sz w:val="21"/>
          <w:szCs w:val="21"/>
          <w:color w:val="auto"/>
        </w:rPr>
        <w:t>The identities and backgrounds of the Reporting Persons are set forth on Annex A, filed as Exhibit 99.1 attatched hereto and incorporated by reference herein. The agreement among the Reporting Persons relating to the joint filing of this Schedule 13D is filed as Exhibit 99.4 hereto. None of the Reporting Persons has, during the last five years: (i)</w:t>
      </w:r>
    </w:p>
    <w:p>
      <w:pPr>
        <w:spacing w:after="0" w:line="1" w:lineRule="exact"/>
        <w:rPr>
          <w:sz w:val="20"/>
          <w:szCs w:val="20"/>
          <w:color w:val="auto"/>
        </w:rPr>
      </w:pPr>
    </w:p>
    <w:p>
      <w:pPr>
        <w:ind w:left="960" w:right="140" w:hanging="912"/>
        <w:spacing w:after="0" w:line="234"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this Schedule 13D is incorporated herein by reference.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On February 15, 2023, AI DMAB acquired 114,435 series B preference shares of Hemab ApS (the "Hemab ApS</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Series B Preferred Shares"), at a per share price of $305.85 in cash, for an aggregate purchase price of</w:t>
      </w:r>
    </w:p>
    <w:p>
      <w:pPr>
        <w:ind w:left="960"/>
        <w:spacing w:after="0"/>
        <w:rPr>
          <w:sz w:val="20"/>
          <w:szCs w:val="20"/>
          <w:color w:val="auto"/>
        </w:rPr>
      </w:pPr>
      <w:r>
        <w:rPr>
          <w:rFonts w:ascii="Times New Roman" w:cs="Times New Roman" w:eastAsia="Times New Roman" w:hAnsi="Times New Roman"/>
          <w:sz w:val="21"/>
          <w:szCs w:val="21"/>
          <w:color w:val="auto"/>
        </w:rPr>
        <w:t>$34,999,944.75. AI DMAB funded this purchase using capital contributed from affiliated entities, which funded that</w:t>
      </w:r>
    </w:p>
    <w:p>
      <w:pPr>
        <w:ind w:left="960"/>
        <w:spacing w:after="0" w:line="231" w:lineRule="auto"/>
        <w:rPr>
          <w:sz w:val="20"/>
          <w:szCs w:val="20"/>
          <w:color w:val="auto"/>
        </w:rPr>
      </w:pPr>
      <w:r>
        <w:rPr>
          <w:rFonts w:ascii="Times New Roman" w:cs="Times New Roman" w:eastAsia="Times New Roman" w:hAnsi="Times New Roman"/>
          <w:sz w:val="22"/>
          <w:szCs w:val="22"/>
          <w:color w:val="auto"/>
        </w:rPr>
        <w:t>capital using cash on hand. On October 23, 2025, AI DMAB acquired 57,217 series C preference shares of Hemab</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ApS (the "Hemab ApS Series C Preferred Shares"), at a per share price of $305.85 in cash, for an aggregate purchase</w:t>
      </w:r>
    </w:p>
    <w:p>
      <w:pPr>
        <w:ind w:left="960"/>
        <w:spacing w:after="0" w:line="231" w:lineRule="auto"/>
        <w:rPr>
          <w:sz w:val="20"/>
          <w:szCs w:val="20"/>
          <w:color w:val="auto"/>
        </w:rPr>
      </w:pPr>
      <w:r>
        <w:rPr>
          <w:rFonts w:ascii="Times New Roman" w:cs="Times New Roman" w:eastAsia="Times New Roman" w:hAnsi="Times New Roman"/>
          <w:sz w:val="22"/>
          <w:szCs w:val="22"/>
          <w:color w:val="auto"/>
        </w:rPr>
        <w:t>price of $17,499,819.45. AI DMAB funded this purchase using capital contributed from affiliated entities, which</w:t>
      </w:r>
    </w:p>
    <w:p>
      <w:pPr>
        <w:ind w:left="960"/>
        <w:spacing w:after="0" w:line="231" w:lineRule="auto"/>
        <w:rPr>
          <w:sz w:val="20"/>
          <w:szCs w:val="20"/>
          <w:color w:val="auto"/>
        </w:rPr>
      </w:pPr>
      <w:r>
        <w:rPr>
          <w:rFonts w:ascii="Times New Roman" w:cs="Times New Roman" w:eastAsia="Times New Roman" w:hAnsi="Times New Roman"/>
          <w:sz w:val="22"/>
          <w:szCs w:val="22"/>
          <w:color w:val="auto"/>
        </w:rPr>
        <w:t>funded that capital using cash on hand. On March 30, 2026, pursuant to a Share Contribution and Exchange</w:t>
      </w:r>
    </w:p>
    <w:p>
      <w:pPr>
        <w:ind w:left="960"/>
        <w:spacing w:after="0" w:line="231" w:lineRule="auto"/>
        <w:rPr>
          <w:sz w:val="20"/>
          <w:szCs w:val="20"/>
          <w:color w:val="auto"/>
        </w:rPr>
      </w:pPr>
      <w:r>
        <w:rPr>
          <w:rFonts w:ascii="Times New Roman" w:cs="Times New Roman" w:eastAsia="Times New Roman" w:hAnsi="Times New Roman"/>
          <w:sz w:val="22"/>
          <w:szCs w:val="22"/>
          <w:color w:val="auto"/>
        </w:rPr>
        <w:t>Agreement by and among the Issuer, Hemab ApS and the holders party thereto, AI DMAB contributed its Hemab</w:t>
      </w:r>
    </w:p>
    <w:p>
      <w:pPr>
        <w:ind w:left="960"/>
        <w:spacing w:after="0" w:line="230" w:lineRule="auto"/>
        <w:rPr>
          <w:sz w:val="20"/>
          <w:szCs w:val="20"/>
          <w:color w:val="auto"/>
        </w:rPr>
      </w:pPr>
      <w:r>
        <w:rPr>
          <w:rFonts w:ascii="Times New Roman" w:cs="Times New Roman" w:eastAsia="Times New Roman" w:hAnsi="Times New Roman"/>
          <w:sz w:val="22"/>
          <w:szCs w:val="22"/>
          <w:color w:val="auto"/>
        </w:rPr>
        <w:t>ApS Series B Preferred Shares and Hemab ApS Series C Preferred Shares to the Issuer in exchange for 114,435</w:t>
      </w:r>
    </w:p>
    <w:p>
      <w:pPr>
        <w:ind w:left="960"/>
        <w:spacing w:after="0" w:line="231" w:lineRule="auto"/>
        <w:rPr>
          <w:sz w:val="20"/>
          <w:szCs w:val="20"/>
          <w:color w:val="auto"/>
        </w:rPr>
      </w:pPr>
      <w:r>
        <w:rPr>
          <w:rFonts w:ascii="Times New Roman" w:cs="Times New Roman" w:eastAsia="Times New Roman" w:hAnsi="Times New Roman"/>
          <w:sz w:val="22"/>
          <w:szCs w:val="22"/>
          <w:color w:val="auto"/>
        </w:rPr>
        <w:t>shares of series B preferred stock of the Issuer, par value $0.0001 per share (the "Series B Preferred Stock"), and</w:t>
      </w:r>
    </w:p>
    <w:p>
      <w:pPr>
        <w:ind w:left="960"/>
        <w:spacing w:after="0" w:line="230" w:lineRule="auto"/>
        <w:rPr>
          <w:sz w:val="20"/>
          <w:szCs w:val="20"/>
          <w:color w:val="auto"/>
        </w:rPr>
      </w:pPr>
      <w:r>
        <w:rPr>
          <w:rFonts w:ascii="Times New Roman" w:cs="Times New Roman" w:eastAsia="Times New Roman" w:hAnsi="Times New Roman"/>
          <w:sz w:val="22"/>
          <w:szCs w:val="22"/>
          <w:color w:val="auto"/>
        </w:rPr>
        <w:t>57,217 shares of series C preferred stock of the Issuer, par value $0.0001 per share (the "Series C Preferred Stock"),</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respectively. No cash consideration was paid by AI DMAB in connection with such exchange. Upon the completion</w:t>
      </w:r>
    </w:p>
    <w:p>
      <w:pPr>
        <w:ind w:left="960"/>
        <w:spacing w:after="0" w:line="231" w:lineRule="auto"/>
        <w:rPr>
          <w:sz w:val="20"/>
          <w:szCs w:val="20"/>
          <w:color w:val="auto"/>
        </w:rPr>
      </w:pPr>
      <w:r>
        <w:rPr>
          <w:rFonts w:ascii="Times New Roman" w:cs="Times New Roman" w:eastAsia="Times New Roman" w:hAnsi="Times New Roman"/>
          <w:sz w:val="22"/>
          <w:szCs w:val="22"/>
          <w:color w:val="auto"/>
        </w:rPr>
        <w:t>of the Issuer's initial public offering on May 4, 2026, and after giving effect to the Issuer's 22-for-one stock split of</w:t>
      </w:r>
    </w:p>
    <w:p>
      <w:pPr>
        <w:ind w:left="960"/>
        <w:spacing w:after="0" w:line="231" w:lineRule="auto"/>
        <w:rPr>
          <w:sz w:val="20"/>
          <w:szCs w:val="20"/>
          <w:color w:val="auto"/>
        </w:rPr>
      </w:pPr>
      <w:r>
        <w:rPr>
          <w:rFonts w:ascii="Times New Roman" w:cs="Times New Roman" w:eastAsia="Times New Roman" w:hAnsi="Times New Roman"/>
          <w:sz w:val="22"/>
          <w:szCs w:val="22"/>
          <w:color w:val="auto"/>
        </w:rPr>
        <w:t>the Issuer's issued and outstanding Common Stock, AI DMAB's 114,435 shares of Series B Preferred Stock</w:t>
      </w:r>
    </w:p>
    <w:p>
      <w:pPr>
        <w:ind w:left="960"/>
        <w:spacing w:after="0" w:line="231" w:lineRule="auto"/>
        <w:rPr>
          <w:sz w:val="20"/>
          <w:szCs w:val="20"/>
          <w:color w:val="auto"/>
        </w:rPr>
      </w:pPr>
      <w:r>
        <w:rPr>
          <w:rFonts w:ascii="Times New Roman" w:cs="Times New Roman" w:eastAsia="Times New Roman" w:hAnsi="Times New Roman"/>
          <w:sz w:val="22"/>
          <w:szCs w:val="22"/>
          <w:color w:val="auto"/>
        </w:rPr>
        <w:t>automatically converted into 2,517,570 shares of Common Stock and AI DMAB's 57,217 shares of Series C</w:t>
      </w:r>
    </w:p>
    <w:p>
      <w:pPr>
        <w:ind w:left="960"/>
        <w:spacing w:after="0" w:line="230" w:lineRule="auto"/>
        <w:rPr>
          <w:sz w:val="20"/>
          <w:szCs w:val="20"/>
          <w:color w:val="auto"/>
        </w:rPr>
      </w:pPr>
      <w:r>
        <w:rPr>
          <w:rFonts w:ascii="Times New Roman" w:cs="Times New Roman" w:eastAsia="Times New Roman" w:hAnsi="Times New Roman"/>
          <w:sz w:val="22"/>
          <w:szCs w:val="22"/>
          <w:color w:val="auto"/>
        </w:rPr>
        <w:t>Preferred Stock automatically converted into 1,258,774 shares of Common Stock, in each case for no consideration.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On May 4, 2026, AI DMAB purchased 1,100,000 shares of Common Stock in the Issuer's initial public offering at the</w:t>
      </w:r>
    </w:p>
    <w:p>
      <w:pPr>
        <w:sectPr>
          <w:pgSz w:w="11900" w:h="16846" w:orient="portrait"/>
          <w:cols w:equalWidth="0" w:num="1">
            <w:col w:w="11240"/>
          </w:cols>
          <w:pgMar w:left="320" w:top="111" w:right="339" w:bottom="0" w:gutter="0" w:footer="0" w:header="0"/>
          <w:type w:val="continuous"/>
        </w:sectPr>
      </w:pPr>
    </w:p>
    <w:bookmarkStart w:id="6" w:name="page7"/>
    <w:bookmarkEnd w:id="6"/>
    <w:p>
      <w:pPr>
        <w:spacing w:after="0" w:line="93" w:lineRule="exact"/>
        <w:rPr>
          <w:sz w:val="20"/>
          <w:szCs w:val="20"/>
          <w:color w:val="auto"/>
        </w:rPr>
      </w:pPr>
    </w:p>
    <w:p>
      <w:pPr>
        <w:ind w:left="920" w:right="340"/>
        <w:spacing w:after="0" w:line="256" w:lineRule="auto"/>
        <w:rPr>
          <w:sz w:val="20"/>
          <w:szCs w:val="20"/>
          <w:color w:val="auto"/>
        </w:rPr>
      </w:pPr>
      <w:r>
        <w:rPr>
          <w:rFonts w:ascii="Times New Roman" w:cs="Times New Roman" w:eastAsia="Times New Roman" w:hAnsi="Times New Roman"/>
          <w:sz w:val="22"/>
          <w:szCs w:val="22"/>
          <w:color w:val="auto"/>
        </w:rPr>
        <w:t>public offering price of $18.00 per share. AI DMAB funded this purchase using capital contributed from affiliated entities, which funded that capital using cash on hand.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The Reporting Persons who hold Common Stock directly acquired those securities as an investment in the regular course of their businesses. The Reporting Persons may engage in discussions with management, the Issuer's board of directors, other stockholders of the Issuer and other relevant parties concerning the business, operations, board composition, management, strategy and future plans of the Issuer. Subject to the terms of the Investors' Rights Agreement (as defined below), the Reporting Persons intend to re-examine their investment from time to time and, depending on prevailing market conditions, other investment opportunities, liquidity requirements or other investment considerations the Reporting Persons deem material, the Reporting Persons may from time to time acquire additional Common Stock in the open market, block trades, negotiated transactions, or otherwise and may also dispose of all or a portion of the Issuer's securities, in open market or privately negotiated transactions, and/or enter into derivative transactions with institutional counterparties with respect to the Issuer's securities, in each case, subject to limitations under applicable law. The Reporting Persons have not yet determined which, if any, of the above courses of action they may ultimately take. The Reporting Persons' future actions with regard to the Issuer are dependent on their evaluation of the factors listed above, circumstances affecting the Issuer in the future, including prospects of the Issuer, general market and economic conditions and other factors deemed relevant. The Reporting Persons reserve the right to determine in the future whether to change the purpose or purposes described above or whether to adopt plans or proposals of the type specified above or otherwise.</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responses of each of the Reporting Persons with respect to Rows 11, 12, and 13 of the cover pages of this</w:t>
      </w:r>
    </w:p>
    <w:p>
      <w:pPr>
        <w:spacing w:after="0" w:line="14" w:lineRule="exact"/>
        <w:rPr>
          <w:sz w:val="20"/>
          <w:szCs w:val="20"/>
          <w:color w:val="auto"/>
        </w:rPr>
      </w:pPr>
    </w:p>
    <w:p>
      <w:pPr>
        <w:ind w:left="920" w:right="520" w:hanging="912"/>
        <w:spacing w:after="0" w:line="237"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13D that relate to the aggregate number of shares and percentage of Common Stock (including but not limited to footnotes to such information) are incorporated herein by reference.</w:t>
      </w:r>
    </w:p>
    <w:p>
      <w:pPr>
        <w:spacing w:after="0" w:line="16" w:lineRule="exact"/>
        <w:rPr>
          <w:rFonts w:ascii="Times New Roman" w:cs="Times New Roman" w:eastAsia="Times New Roman" w:hAnsi="Times New Roman"/>
          <w:sz w:val="22"/>
          <w:szCs w:val="22"/>
          <w:color w:val="auto"/>
        </w:rPr>
      </w:pPr>
    </w:p>
    <w:p>
      <w:pPr>
        <w:jc w:val="both"/>
        <w:ind w:left="920" w:right="7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responses of each of the Reporting Persons with respect to Rows 7, 8, 9, and 10 of the cover pages of this Schedule 13D that relate to the number of shares of Common Stock as to which each of the persons or entities</w:t>
      </w:r>
    </w:p>
    <w:p>
      <w:pPr>
        <w:ind w:left="920" w:right="140" w:hanging="912"/>
        <w:spacing w:after="0" w:line="235"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15" w:lineRule="exact"/>
        <w:rPr>
          <w:rFonts w:ascii="Times New Roman" w:cs="Times New Roman" w:eastAsia="Times New Roman" w:hAnsi="Times New Roman"/>
          <w:sz w:val="22"/>
          <w:szCs w:val="22"/>
          <w:color w:val="auto"/>
        </w:rPr>
      </w:pPr>
    </w:p>
    <w:p>
      <w:pPr>
        <w:ind w:left="920" w:right="140" w:hanging="912"/>
        <w:spacing w:after="0" w:line="214"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following transactions in the Issuer's securities have been effected by the Reporting Persons within the 60 days prior to this filing: The information set forth in Item 3 of this Schedule 13D is incorporated herein by reference. 4,876,344 shares of Common Stock are held directly by AI DMAB and may be deemed to be beneficially owned by AI Biotechnology, AIH, AIM and Len Blavatnik because (i) Mr. Blavatnik controls AIM and AIH, (ii) AIM controls AIH and AI Biotechnology, (iii) AIH owns all of the voting units of AI Biotechnology and (iv) AI Biotechnology</w:t>
      </w:r>
    </w:p>
    <w:p>
      <w:pPr>
        <w:spacing w:after="0" w:line="1" w:lineRule="exact"/>
        <w:rPr>
          <w:rFonts w:ascii="Times New Roman" w:cs="Times New Roman" w:eastAsia="Times New Roman" w:hAnsi="Times New Roman"/>
          <w:sz w:val="42"/>
          <w:szCs w:val="42"/>
          <w:color w:val="auto"/>
          <w:vertAlign w:val="subscript"/>
        </w:rPr>
      </w:pPr>
    </w:p>
    <w:p>
      <w:pPr>
        <w:ind w:left="920" w:right="80" w:hanging="912"/>
        <w:spacing w:after="0" w:line="247"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owns all of the voting units of AI DMAB. Each of AI Biotechnology, AIH, AIM and Mr. Blavatnik, and each of their affiliated entities and the officers, partners, members and managers thereof, disclaims beneficial ownership of these securities, except to the extent of its or his pecuniary interest therein, and this Schedule 13D shall not be construed as an admission that any such Reporting Person is the beneficial owner of any of the securities reported herein.</w:t>
      </w:r>
    </w:p>
    <w:p>
      <w:pPr>
        <w:spacing w:after="0" w:line="7"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Lock-up Agreement In connection with the Issuer's initial public offering, on March 17, 2026, AI DMAB entered into a lock-up agreement (the "Lock-up Agreement") with Goldman Sachs &amp; Co. LLC, Jefferies LLC and Evercore Group L.L.C., as representatives of the underwriters. Pursuant to the Lock-up Agreement, AI DMAB has agreed that it will not, directly or indirectly, offer, sell, contract to sell, pledge, grant any option, right or warrant to purchase, purchase any option or contract to sell, lend or otherwise transfer or dispose of any ordinary shares or preference shares of Hemab ApS, any shares of Common Stock, or any options or warrants to purchase any shares of Common Stock, or any securities convertible into, exchangeable for or that represent the right to receive shares of Common Stock, enter into any hedging, swap or other arrangement that transfers, in whole or in part, the economic consequences of ownership of Common Stock, make any demand for or exercise any right with respect to the registration of any such equity securities, or make any public announcement of an intention to do any of the foregoing for a period of 180 days following April 30, 2026, the date of the Issuer's prospectus filed pursuant to Rule 424(b)(4) with the SEC, without the prior written consent of Goldman Sachs &amp; Co. LLC, Jefferies LLC and Evercore Group L.L.C., subject to certain exceptions. Goldman Sachs &amp; Co. LLC, Jefferies LLC and Evercore Group L.L.C., on behalf of the underwriters, may release all or any portion of the securities subject to the Lock-up Agreement at any time and without notice before the termination of the 180-day period. The foregoing description of the Lock-up Agreement does not purport to be complete and is qualified in its entirety by reference to such, which is filed as an exhibit and incorporated herein by reference. Investors' Rights Agreement AI DMAB is party to an investors' rights agreement (the "Investors' Rights Agreement"), dated March 30, 2026, by and among the Issuer and certain of its stockholders named therein. Pursuant to the terms of the Investors' Rights Agreement, beginning 180 days after April 30, 2026, the effective date of the registration statement for the Issuer's initial public offering, holders who are party to the Investors' Rights Agreement and who collectively hold at least 30% of the then outstanding Registrable Securities (as defined therein) have the right to require the Issuer to file a registration statement on Form S-1 to register at least 25% of the then outstanding Registrable Securities, or a lesser percent if the anticipated aggregate offering price, net of selling expenses, would exceed $10 million, subject to customary terms and conditions. At any time the Issuer is eligible to use a Form S-3 registration statement, holders who are party to the Investors' Rights Agreement and who collectively hold at least 20% of the then outstanding Registrable Securities have the right to require the Issuer to file a registration statement on Form S-3 to register outstanding Registrable Securities of such holders having an</w:t>
      </w:r>
    </w:p>
    <w:p>
      <w:pPr>
        <w:sectPr>
          <w:pgSz w:w="11900" w:h="16931" w:orient="portrait"/>
          <w:cols w:equalWidth="0" w:num="1">
            <w:col w:w="11140"/>
          </w:cols>
          <w:pgMar w:left="360" w:top="111" w:right="399" w:bottom="0" w:gutter="0" w:footer="0" w:header="0"/>
        </w:sectPr>
      </w:pPr>
    </w:p>
    <w:bookmarkStart w:id="7" w:name="page8"/>
    <w:bookmarkEnd w:id="7"/>
    <w:p>
      <w:pPr>
        <w:ind w:left="920" w:right="180"/>
        <w:spacing w:after="0" w:line="235" w:lineRule="auto"/>
        <w:rPr>
          <w:sz w:val="20"/>
          <w:szCs w:val="20"/>
          <w:color w:val="auto"/>
        </w:rPr>
      </w:pPr>
      <w:r>
        <w:rPr>
          <w:rFonts w:ascii="Times New Roman" w:cs="Times New Roman" w:eastAsia="Times New Roman" w:hAnsi="Times New Roman"/>
          <w:sz w:val="22"/>
          <w:szCs w:val="22"/>
          <w:color w:val="auto"/>
        </w:rPr>
        <w:t>anticipated aggregate offering price, net of selling expenses, of at least $5 million, subject to customary terms and conditions. Pursuant to the Investors' Rights Agreement, AI DMAB and its permitted transferees have customary piggyback registration rights, subject to customary terms and conditions. The foregoing description of the Investors' Rights Agreement does not purport to be complete and is qualified in its entirety by reference to such, which is filed as an exhibit and incorporated herein by reference. Joint Filing Agreement A Joint Filing Agreement, dated May 11, 2026, by and among the Reporting Persons has been executed by the Reporting Persons, a copy of which is attached hereto as Exhibit 99.4 and is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36" w:lineRule="auto"/>
        <w:rPr>
          <w:sz w:val="20"/>
          <w:szCs w:val="20"/>
          <w:color w:val="auto"/>
        </w:rPr>
      </w:pPr>
      <w:r>
        <w:rPr>
          <w:rFonts w:ascii="Times New Roman" w:cs="Times New Roman" w:eastAsia="Times New Roman" w:hAnsi="Times New Roman"/>
          <w:sz w:val="22"/>
          <w:szCs w:val="22"/>
          <w:color w:val="auto"/>
        </w:rPr>
        <w:t>99.1 Annex A. 99.2 Lock-up Agreement, dated as of March 17, 2026, by and between AI DEN-MAB LLC, Goldman Sachs &amp; Co. LLC, Jefferies LLC and Evercore L.L.C. as representatives of the several underwriters. 99.3 Investors' Rights Agreement, dated as of March 30, 2026, by and among Hemab Therapeutics Holdings, Inc. and certain of its stockholders (incorporated herein by reference to Exhibit 4.3 to the Issuer's Amendment No. 2 to the Form S-1 filed with the Securities and Exchange Commission on April 28, 2026). 99.4 Joint Filing Agreement, dated as of May 11, 2026. 99.5 Limited Power of Attorney.</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320" w:type="dxa"/>
            <w:vAlign w:val="bottom"/>
          </w:tcPr>
          <w:p>
            <w:pPr>
              <w:spacing w:after="0"/>
              <w:rPr>
                <w:sz w:val="24"/>
                <w:szCs w:val="24"/>
                <w:color w:val="auto"/>
              </w:rPr>
            </w:pPr>
          </w:p>
        </w:tc>
        <w:tc>
          <w:tcPr>
            <w:tcW w:w="5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AI DEN-MAB LLC</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Signature: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9840" w:type="dxa"/>
            <w:vAlign w:val="bottom"/>
            <w:gridSpan w:val="2"/>
          </w:tcPr>
          <w:p>
            <w:pPr>
              <w:ind w:left="4340"/>
              <w:spacing w:after="0" w:line="243" w:lineRule="exact"/>
              <w:rPr>
                <w:sz w:val="20"/>
                <w:szCs w:val="20"/>
                <w:color w:val="auto"/>
              </w:rPr>
            </w:pPr>
            <w:r>
              <w:rPr>
                <w:rFonts w:ascii="Times New Roman" w:cs="Times New Roman" w:eastAsia="Times New Roman" w:hAnsi="Times New Roman"/>
                <w:sz w:val="22"/>
                <w:szCs w:val="22"/>
                <w:color w:val="auto"/>
              </w:rPr>
              <w:t>Name/Title: manager; its Executive Vice President, General</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Date: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Access Industries Holdings LLC</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Signature: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9840" w:type="dxa"/>
            <w:vAlign w:val="bottom"/>
            <w:gridSpan w:val="2"/>
          </w:tcPr>
          <w:p>
            <w:pPr>
              <w:ind w:left="4340"/>
              <w:spacing w:after="0" w:line="243" w:lineRule="exact"/>
              <w:rPr>
                <w:sz w:val="20"/>
                <w:szCs w:val="20"/>
                <w:color w:val="auto"/>
              </w:rPr>
            </w:pPr>
            <w:r>
              <w:rPr>
                <w:rFonts w:ascii="Times New Roman" w:cs="Times New Roman" w:eastAsia="Times New Roman" w:hAnsi="Times New Roman"/>
                <w:sz w:val="22"/>
                <w:szCs w:val="22"/>
                <w:color w:val="auto"/>
              </w:rPr>
              <w:t>Name/Title: manager; its Executive Vice President, General</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Date: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AI Biotechnology LLC</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Signature: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9840" w:type="dxa"/>
            <w:vAlign w:val="bottom"/>
            <w:gridSpan w:val="2"/>
          </w:tcPr>
          <w:p>
            <w:pPr>
              <w:ind w:left="4340"/>
              <w:spacing w:after="0" w:line="243" w:lineRule="exact"/>
              <w:rPr>
                <w:sz w:val="20"/>
                <w:szCs w:val="20"/>
                <w:color w:val="auto"/>
              </w:rPr>
            </w:pPr>
            <w:r>
              <w:rPr>
                <w:rFonts w:ascii="Times New Roman" w:cs="Times New Roman" w:eastAsia="Times New Roman" w:hAnsi="Times New Roman"/>
                <w:sz w:val="22"/>
                <w:szCs w:val="22"/>
                <w:color w:val="auto"/>
              </w:rPr>
              <w:t>Name/Title: manager; its Executive Vice President, General</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Date: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Access Industries Management LLC</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Signature: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2"/>
                <w:szCs w:val="22"/>
                <w:color w:val="auto"/>
              </w:rPr>
            </w:pPr>
          </w:p>
        </w:tc>
        <w:tc>
          <w:tcPr>
            <w:tcW w:w="5400" w:type="dxa"/>
            <w:vAlign w:val="bottom"/>
            <w:vMerge w:val="restart"/>
          </w:tcPr>
          <w:p>
            <w:pPr>
              <w:ind w:left="4340"/>
              <w:spacing w:after="0"/>
              <w:rPr>
                <w:sz w:val="20"/>
                <w:szCs w:val="20"/>
                <w:color w:val="auto"/>
              </w:rPr>
            </w:pPr>
            <w:r>
              <w:rPr>
                <w:rFonts w:ascii="Times New Roman" w:cs="Times New Roman" w:eastAsia="Times New Roman" w:hAnsi="Times New Roman"/>
                <w:sz w:val="22"/>
                <w:szCs w:val="22"/>
                <w:color w:val="auto"/>
                <w:w w:val="97"/>
              </w:rPr>
              <w:t>Name/Title: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Executive Vice President, General</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Date: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Len Blavatnik</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Signature: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2"/>
                <w:szCs w:val="22"/>
                <w:color w:val="auto"/>
              </w:rPr>
            </w:pPr>
          </w:p>
        </w:tc>
        <w:tc>
          <w:tcPr>
            <w:tcW w:w="5400" w:type="dxa"/>
            <w:vAlign w:val="bottom"/>
            <w:vMerge w:val="restart"/>
          </w:tcPr>
          <w:p>
            <w:pPr>
              <w:ind w:left="4340"/>
              <w:spacing w:after="0"/>
              <w:rPr>
                <w:sz w:val="20"/>
                <w:szCs w:val="20"/>
                <w:color w:val="auto"/>
              </w:rPr>
            </w:pPr>
            <w:r>
              <w:rPr>
                <w:rFonts w:ascii="Times New Roman" w:cs="Times New Roman" w:eastAsia="Times New Roman" w:hAnsi="Times New Roman"/>
                <w:sz w:val="22"/>
                <w:szCs w:val="22"/>
                <w:color w:val="auto"/>
                <w:w w:val="97"/>
              </w:rPr>
              <w:t>Name/Title: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Alejandro Moreno as Attorney-in-Fact for</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Len Blavatnik</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4"/>
                <w:szCs w:val="24"/>
                <w:color w:val="auto"/>
              </w:rPr>
            </w:pPr>
          </w:p>
        </w:tc>
        <w:tc>
          <w:tcPr>
            <w:tcW w:w="540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Date:</w:t>
            </w:r>
          </w:p>
        </w:tc>
        <w:tc>
          <w:tcPr>
            <w:tcW w:w="4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315"/>
        </w:trPr>
        <w:tc>
          <w:tcPr>
            <w:tcW w:w="1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Comments</w:t>
            </w:r>
          </w:p>
        </w:tc>
        <w:tc>
          <w:tcPr>
            <w:tcW w:w="98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 The above signed, by signing his name hereto, executes this Schedule 13D pursuant to the Limited</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accompanying</w:t>
            </w:r>
          </w:p>
        </w:tc>
        <w:tc>
          <w:tcPr>
            <w:tcW w:w="9840" w:type="dxa"/>
            <w:vAlign w:val="bottom"/>
            <w:gridSpan w:val="2"/>
          </w:tcPr>
          <w:p>
            <w:pPr>
              <w:ind w:left="600"/>
              <w:spacing w:after="0" w:line="229" w:lineRule="exact"/>
              <w:rPr>
                <w:sz w:val="20"/>
                <w:szCs w:val="20"/>
                <w:color w:val="auto"/>
              </w:rPr>
            </w:pPr>
            <w:r>
              <w:rPr>
                <w:rFonts w:ascii="Times New Roman" w:cs="Times New Roman" w:eastAsia="Times New Roman" w:hAnsi="Times New Roman"/>
                <w:sz w:val="22"/>
                <w:szCs w:val="22"/>
                <w:color w:val="auto"/>
              </w:rPr>
              <w:t>Power of Attorney executed on behalf of Mr. Blavatnik and filed herewith.</w:t>
            </w: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54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2026-05-11T15:52:06Z</dcterms:created>
  <dcterms:modified xsi:type="dcterms:W3CDTF">2026-05-11T15:52:06Z</dcterms:modified>
</cp:coreProperties>
</file>