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 CAPITAL MANAGEMENT,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Hemab Therapeutics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COAG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0" w:type="dxa"/>
            <w:vAlign w:val="bottom"/>
            <w:gridSpan w:val="2"/>
            <w:vMerge w:val="continue"/>
          </w:tcPr>
          <w:p>
            <w:pPr>
              <w:spacing w:after="0"/>
              <w:rPr>
                <w:sz w:val="8"/>
                <w:szCs w:val="8"/>
                <w:color w:val="auto"/>
              </w:rPr>
            </w:pPr>
          </w:p>
        </w:tc>
        <w:tc>
          <w:tcPr>
            <w:tcW w:w="3620" w:type="dxa"/>
            <w:vAlign w:val="bottom"/>
            <w:gridSpan w:val="2"/>
            <w:vMerge w:val="continue"/>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05/07/2026</w:t>
            </w: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43"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5"/>
          </w:tcPr>
          <w:p>
            <w:pPr>
              <w:ind w:left="220"/>
              <w:spacing w:after="0"/>
              <w:rPr>
                <w:sz w:val="20"/>
                <w:szCs w:val="20"/>
                <w:color w:val="auto"/>
              </w:rPr>
            </w:pPr>
            <w:r>
              <w:rPr>
                <w:rFonts w:ascii="Arial" w:cs="Arial" w:eastAsia="Arial" w:hAnsi="Arial"/>
                <w:sz w:val="12"/>
                <w:szCs w:val="12"/>
                <w:b w:val="1"/>
                <w:bCs w:val="1"/>
                <w:color w:val="auto"/>
              </w:rPr>
              <w:t>2A. Deemed</w:t>
            </w:r>
          </w:p>
        </w:tc>
        <w:tc>
          <w:tcPr>
            <w:tcW w:w="240" w:type="dxa"/>
            <w:vAlign w:val="bottom"/>
            <w:gridSpan w:val="2"/>
          </w:tcPr>
          <w:p>
            <w:pPr>
              <w:ind w:left="120"/>
              <w:spacing w:after="0"/>
              <w:rPr>
                <w:sz w:val="20"/>
                <w:szCs w:val="20"/>
                <w:color w:val="auto"/>
              </w:rPr>
            </w:pPr>
            <w:r>
              <w:rPr>
                <w:rFonts w:ascii="Arial" w:cs="Arial" w:eastAsia="Arial" w:hAnsi="Arial"/>
                <w:sz w:val="12"/>
                <w:szCs w:val="12"/>
                <w:b w:val="1"/>
                <w:bCs w:val="1"/>
                <w:color w:val="auto"/>
                <w:w w:val="99"/>
              </w:rPr>
              <w:t>3.</w:t>
            </w:r>
          </w:p>
        </w:tc>
        <w:tc>
          <w:tcPr>
            <w:tcW w:w="600" w:type="dxa"/>
            <w:vAlign w:val="bottom"/>
          </w:tcPr>
          <w:p>
            <w:pPr>
              <w:spacing w:after="0"/>
              <w:rPr>
                <w:sz w:val="13"/>
                <w:szCs w:val="13"/>
                <w:color w:val="auto"/>
              </w:rPr>
            </w:pPr>
          </w:p>
        </w:tc>
        <w:tc>
          <w:tcPr>
            <w:tcW w:w="20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7"/>
          </w:tcPr>
          <w:p>
            <w:pPr>
              <w:ind w:left="24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2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3"/>
              </w:rPr>
              <w:t>8)</w:t>
            </w: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6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gridSpan w:val="2"/>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gridSpan w:val="2"/>
            <w:vMerge w:val="continue"/>
          </w:tcPr>
          <w:p>
            <w:pPr>
              <w:spacing w:after="0"/>
              <w:rPr>
                <w:sz w:val="13"/>
                <w:szCs w:val="13"/>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gridSpan w:val="2"/>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1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05/07/2026</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7,921</w:t>
            </w:r>
          </w:p>
        </w:tc>
        <w:tc>
          <w:tcPr>
            <w:tcW w:w="200" w:type="dxa"/>
            <w:vAlign w:val="bottom"/>
          </w:tcPr>
          <w:p>
            <w:pPr>
              <w:spacing w:after="0"/>
              <w:rPr>
                <w:sz w:val="21"/>
                <w:szCs w:val="21"/>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24.34</w:t>
            </w:r>
            <w:r>
              <w:rPr>
                <w:rFonts w:ascii="Times New Roman" w:cs="Times New Roman" w:eastAsia="Times New Roman" w:hAnsi="Times New Roman"/>
                <w:sz w:val="22"/>
                <w:szCs w:val="22"/>
                <w:color w:val="008000"/>
                <w:w w:val="95"/>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6,322,446</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05/07/2026</w:t>
            </w: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1,985</w:t>
            </w:r>
          </w:p>
        </w:tc>
        <w:tc>
          <w:tcPr>
            <w:tcW w:w="2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24.95</w:t>
            </w:r>
            <w:r>
              <w:rPr>
                <w:rFonts w:ascii="Times New Roman" w:cs="Times New Roman" w:eastAsia="Times New Roman" w:hAnsi="Times New Roman"/>
                <w:sz w:val="22"/>
                <w:szCs w:val="22"/>
                <w:color w:val="008000"/>
                <w:w w:val="95"/>
                <w:vertAlign w:val="superscript"/>
              </w:rPr>
              <w:t>(4)</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6,324,431</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05/08/2026</w:t>
            </w: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1,483</w:t>
            </w:r>
          </w:p>
        </w:tc>
        <w:tc>
          <w:tcPr>
            <w:tcW w:w="2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24.98</w:t>
            </w:r>
            <w:r>
              <w:rPr>
                <w:rFonts w:ascii="Times New Roman" w:cs="Times New Roman" w:eastAsia="Times New Roman" w:hAnsi="Times New Roman"/>
                <w:sz w:val="22"/>
                <w:szCs w:val="22"/>
                <w:color w:val="008000"/>
                <w:w w:val="95"/>
                <w:vertAlign w:val="superscript"/>
              </w:rPr>
              <w:t>(5)</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6,325,914</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05/11/2026</w:t>
            </w: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14,149</w:t>
            </w:r>
          </w:p>
        </w:tc>
        <w:tc>
          <w:tcPr>
            <w:tcW w:w="2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24.47</w:t>
            </w:r>
            <w:r>
              <w:rPr>
                <w:rFonts w:ascii="Times New Roman" w:cs="Times New Roman" w:eastAsia="Times New Roman" w:hAnsi="Times New Roman"/>
                <w:sz w:val="22"/>
                <w:szCs w:val="22"/>
                <w:color w:val="008000"/>
                <w:w w:val="95"/>
                <w:vertAlign w:val="superscript"/>
              </w:rPr>
              <w:t>(6)</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6,340,063</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05/11/2026</w:t>
            </w: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25,720</w:t>
            </w:r>
          </w:p>
        </w:tc>
        <w:tc>
          <w:tcPr>
            <w:tcW w:w="2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25</w:t>
            </w:r>
            <w:r>
              <w:rPr>
                <w:rFonts w:ascii="Times New Roman" w:cs="Times New Roman" w:eastAsia="Times New Roman" w:hAnsi="Times New Roman"/>
                <w:sz w:val="22"/>
                <w:szCs w:val="22"/>
                <w:color w:val="008000"/>
                <w:w w:val="91"/>
                <w:vertAlign w:val="superscript"/>
              </w:rPr>
              <w:t>(7)</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6,365,783</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1,009,052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354,938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(2)(9)</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56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7"/>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0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 CAPITAL MANAGEMENT,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200 BERKELEY STREET, 18TH FLOOR</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7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02116</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-3091180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308"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5368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09240" cy="536892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RA Capital Healthcare Fund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Kolchinsky Peter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Shah Rajeev M.</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$23.775 to $24.685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20" w:right="18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RA Capital Management, L.P. (the "Adviser") is the investment manager for RA Capital Healthcare Fund, L.P. (the "Fund"), RA Capital Nexus II Fund, L.P. (the "Nexus Fund II") and RA Capital Nexus IV Fund, L.P. (the "Nexus Fund IV"). The general partner of the Adviser is RA Capital Management GP, LLC (the "Adviser GP"), of which Dr. Peter Kolchinsky and Mr. Rajeev Shah are the managing members. The Adviser, the Adviser GP, the Fund, Dr. Kolchinsky and Mr. Shah disclaim beneficial ownership of any of the reported securities, except to the extent of their pecuniary interest therein.</w:t>
      </w:r>
    </w:p>
    <w:p>
      <w:pPr>
        <w:spacing w:after="0" w:line="24"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the Fund.</w:t>
      </w:r>
    </w:p>
    <w:p>
      <w:pPr>
        <w:spacing w:after="0" w:line="50"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$24.84 to $25.00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$24.80 to $25.00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$23.93 to $24.90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$24.93 to $25.00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Nexus Fund II.</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Nexus Fund IV.</w:t>
      </w:r>
    </w:p>
    <w:p>
      <w:pPr>
        <w:sectPr>
          <w:pgSz w:w="11900" w:h="16838" w:orient="portrait"/>
          <w:cols w:equalWidth="0" w:num="1">
            <w:col w:w="10880"/>
          </w:cols>
          <w:pgMar w:left="480" w:top="163" w:right="539" w:bottom="33" w:gutter="0" w:footer="0" w:header="0"/>
        </w:sectPr>
      </w:pP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0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of RA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65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708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0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of RA Capital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07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Fund 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23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of RA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20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Healthcare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63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9124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9124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314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Rajeev Shah,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712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3"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100"/>
            <w:col w:w="2120"/>
          </w:cols>
          <w:pgMar w:left="480" w:top="163" w:right="539" w:bottom="33"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63" w:right="539" w:bottom="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13" Type="http://schemas.openxmlformats.org/officeDocument/2006/relationships/hyperlink" Target="http://www.sec.gov/cgi-bin/browse-edgar?action=getcompany&amp;CIK=0001346824" TargetMode="External"/><Relationship Id="rId14" Type="http://schemas.openxmlformats.org/officeDocument/2006/relationships/hyperlink" Target="http://www.sec.gov/cgi-bin/browse-edgar?action=getcompany&amp;CIK=0002114044" TargetMode="External"/><Relationship Id="rId17" Type="http://schemas.openxmlformats.org/officeDocument/2006/relationships/hyperlink" Target="http://www.sec.gov/cgi-bin/browse-edgar?action=getcompany&amp;CIK=0001315082" TargetMode="External"/><Relationship Id="rId18" Type="http://schemas.openxmlformats.org/officeDocument/2006/relationships/hyperlink" Target="http://www.sec.gov/cgi-bin/browse-edgar?action=getcompany&amp;CIK=0001384859" TargetMode="External"/><Relationship Id="rId19" Type="http://schemas.openxmlformats.org/officeDocument/2006/relationships/hyperlink" Target="http://www.sec.gov/cgi-bin/browse-edgar?action=getcompany&amp;CIK=00016198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2026-05-11T16:45:16Z</dcterms:created>
  <dcterms:modified xsi:type="dcterms:W3CDTF">2026-05-11T16:45:16Z</dcterms:modified>
</cp:coreProperties>
</file>