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ag-20260630.htm"/>
      <w:bookmarkStart w:id="1" w:name="kscoag20260630"/>
      <w:bookmarkEnd w:id="0"/>
      <w:bookmarkEnd w:id="1"/>
      <w:r>
        <w:rPr/>
        <w:t> </w:t>
      </w:r>
    </w:p>
    <w:p>
      <w:pPr>
        <w:pStyle w:val="TextBody"/>
        <w:pBdr>
          <w:top w:val="double" w:sz="6"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ind w:left="4320" w:right="4320" w:hanging="0"/>
        <w:jc w:val="center"/>
        <w:rPr/>
      </w:pPr>
      <w:r>
        <w:rPr/>
        <w:t> </w:t>
      </w:r>
    </w:p>
    <w:p>
      <w:pPr>
        <w:pStyle w:val="TextBody"/>
        <w:bidi w:val="0"/>
        <w:ind w:left="4320" w:right="4320" w:hanging="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ind w:left="4320" w:right="4320" w:hanging="0"/>
        <w:jc w:val="center"/>
        <w:rPr/>
      </w:pPr>
      <w:r>
        <w:rPr/>
        <w:t> </w:t>
      </w:r>
    </w:p>
    <w:p>
      <w:pPr>
        <w:pStyle w:val="TextBody"/>
        <w:bidi w:val="0"/>
        <w:spacing w:before="80" w:after="283"/>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80" w:after="283"/>
        <w:jc w:val="center"/>
        <w:rPr>
          <w:rFonts w:ascii="Arial" w:hAnsi="Arial"/>
          <w:b/>
          <w:color w:val="000000"/>
          <w:sz w:val="20"/>
        </w:rPr>
      </w:pPr>
      <w:r>
        <w:rPr>
          <w:rFonts w:ascii="Arial" w:hAnsi="Arial"/>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transition period from ________________ to ________________</w:t>
      </w:r>
    </w:p>
    <w:p>
      <w:pPr>
        <w:pStyle w:val="TextBody"/>
        <w:bidi w:val="0"/>
        <w:spacing w:before="80" w:after="283"/>
        <w:jc w:val="center"/>
        <w:rPr>
          <w:rFonts w:ascii="Arial" w:hAnsi="Arial"/>
          <w:b/>
          <w:color w:val="000000"/>
          <w:sz w:val="20"/>
        </w:rPr>
      </w:pPr>
      <w:r>
        <w:rPr>
          <w:rFonts w:ascii="Arial" w:hAnsi="Arial"/>
          <w:b/>
          <w:color w:val="000000"/>
          <w:sz w:val="20"/>
        </w:rPr>
        <w:t>Commission File Number: 001-43250</w:t>
      </w:r>
    </w:p>
    <w:p>
      <w:pPr>
        <w:pStyle w:val="TextBody"/>
        <w:pBdr>
          <w:bottom w:val="single" w:sz="4" w:space="1" w:color="000000"/>
        </w:pBdr>
        <w:bidi w:val="0"/>
        <w:ind w:left="4320" w:right="4320" w:hanging="0"/>
        <w:jc w:val="center"/>
        <w:rPr/>
      </w:pPr>
      <w:r>
        <w:rPr/>
        <w:t> </w:t>
      </w:r>
    </w:p>
    <w:p>
      <w:pPr>
        <w:pStyle w:val="TextBody"/>
        <w:bidi w:val="0"/>
        <w:ind w:left="4320" w:right="4320" w:hanging="0"/>
        <w:jc w:val="center"/>
        <w:rPr/>
      </w:pPr>
      <w:r>
        <w:rPr/>
        <w:t> </w:t>
      </w:r>
    </w:p>
    <w:p>
      <w:pPr>
        <w:pStyle w:val="TextBody"/>
        <w:bidi w:val="0"/>
        <w:jc w:val="center"/>
        <w:rPr>
          <w:rFonts w:ascii="Arial" w:hAnsi="Arial"/>
          <w:b/>
          <w:color w:val="000000"/>
          <w:sz w:val="48"/>
        </w:rPr>
      </w:pPr>
      <w:r>
        <w:rPr>
          <w:rFonts w:ascii="Arial" w:hAnsi="Arial"/>
          <w:b/>
          <w:color w:val="000000"/>
          <w:sz w:val="48"/>
        </w:rPr>
        <w:t>Hemab Therapeutics Holdings,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ind w:left="4320" w:right="4320" w:hanging="0"/>
        <w:jc w:val="center"/>
        <w:rPr/>
      </w:pPr>
      <w:r>
        <w:rPr/>
        <w:t> </w:t>
      </w:r>
    </w:p>
    <w:p>
      <w:pPr>
        <w:pStyle w:val="TextBody"/>
        <w:bidi w:val="0"/>
        <w:jc w:val="left"/>
        <w:rPr/>
      </w:pPr>
      <w:r>
        <w:rPr/>
        <w:t> </w:t>
      </w:r>
    </w:p>
    <w:tbl>
      <w:tblPr>
        <w:tblW w:w="5117" w:type="dxa"/>
        <w:jc w:val="left"/>
        <w:tblInd w:w="0" w:type="dxa"/>
        <w:tblLayout w:type="fixed"/>
        <w:tblCellMar>
          <w:top w:w="28" w:type="dxa"/>
          <w:left w:w="28" w:type="dxa"/>
          <w:bottom w:w="28" w:type="dxa"/>
          <w:right w:w="28" w:type="dxa"/>
        </w:tblCellMar>
      </w:tblPr>
      <w:tblGrid>
        <w:gridCol w:w="3481"/>
        <w:gridCol w:w="1636"/>
      </w:tblGrid>
      <w:tr>
        <w:trPr/>
        <w:tc>
          <w:tcPr>
            <w:tcW w:w="348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41-4241952</w:t>
            </w:r>
          </w:p>
        </w:tc>
      </w:tr>
      <w:tr>
        <w:trPr/>
        <w:tc>
          <w:tcPr>
            <w:tcW w:w="3481"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(State or other jurisdiction of</w:t>
            </w:r>
          </w:p>
          <w:p>
            <w:pPr>
              <w:pStyle w:val="TableContents"/>
              <w:bidi w:val="0"/>
              <w:spacing w:before="0" w:after="283"/>
              <w:jc w:val="center"/>
              <w:rPr>
                <w:rFonts w:ascii="Arial" w:hAnsi="Arial"/>
                <w:b/>
                <w:color w:val="000000"/>
                <w:sz w:val="18"/>
              </w:rPr>
            </w:pPr>
            <w:r>
              <w:rPr>
                <w:rFonts w:ascii="Arial" w:hAnsi="Arial"/>
                <w:b/>
                <w:color w:val="000000"/>
                <w:sz w:val="18"/>
              </w:rPr>
              <w:t>incorporation or organization)</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(I.R.S. Employer</w:t>
              <w:br/>
              <w:t>Identification No.)</w:t>
            </w:r>
          </w:p>
        </w:tc>
      </w:tr>
      <w:tr>
        <w:trPr/>
        <w:tc>
          <w:tcPr>
            <w:tcW w:w="3481"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101 Main Street, Suite 1220</w:t>
            </w:r>
          </w:p>
          <w:p>
            <w:pPr>
              <w:pStyle w:val="TableContents"/>
              <w:bidi w:val="0"/>
              <w:spacing w:before="0" w:after="283"/>
              <w:jc w:val="center"/>
              <w:rPr>
                <w:rFonts w:ascii="Arial" w:hAnsi="Arial"/>
                <w:b/>
                <w:color w:val="000000"/>
                <w:sz w:val="18"/>
              </w:rPr>
            </w:pPr>
            <w:r>
              <w:rPr>
                <w:rFonts w:ascii="Arial" w:hAnsi="Arial"/>
                <w:b/>
                <w:color w:val="000000"/>
                <w:sz w:val="18"/>
              </w:rPr>
              <w:t>Cambridge, Massachusetts</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02142</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(Address of principal executive offices)</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(Zip Code)</w:t>
            </w:r>
          </w:p>
        </w:tc>
      </w:tr>
    </w:tbl>
    <w:p>
      <w:pPr>
        <w:pStyle w:val="TextBody"/>
        <w:bidi w:val="0"/>
        <w:spacing w:before="80" w:after="283"/>
        <w:jc w:val="center"/>
        <w:rPr>
          <w:rFonts w:ascii="Arial" w:hAnsi="Arial"/>
          <w:b/>
          <w:color w:val="000000"/>
          <w:sz w:val="18"/>
        </w:rPr>
      </w:pPr>
      <w:r>
        <w:rPr>
          <w:rFonts w:ascii="Arial" w:hAnsi="Arial"/>
          <w:b/>
          <w:color w:val="000000"/>
          <w:sz w:val="18"/>
        </w:rPr>
        <w:t>(617) 553-3952</w:t>
      </w:r>
    </w:p>
    <w:p>
      <w:pPr>
        <w:pStyle w:val="TextBody"/>
        <w:bidi w:val="0"/>
        <w:spacing w:before="80" w:after="283"/>
        <w:jc w:val="center"/>
        <w:rPr>
          <w:rFonts w:ascii="Arial" w:hAnsi="Arial"/>
          <w:b/>
          <w:color w:val="000000"/>
          <w:sz w:val="18"/>
        </w:rPr>
      </w:pPr>
      <w:r>
        <w:rPr>
          <w:rFonts w:ascii="Arial" w:hAnsi="Arial"/>
          <w:b/>
          <w:color w:val="000000"/>
          <w:sz w:val="18"/>
        </w:rPr>
        <w:t>(Registrant’s telephone number, including area code)</w:t>
      </w:r>
    </w:p>
    <w:p>
      <w:pPr>
        <w:pStyle w:val="TextBody"/>
        <w:pBdr>
          <w:bottom w:val="single" w:sz="4" w:space="1" w:color="000000"/>
        </w:pBdr>
        <w:bidi w:val="0"/>
        <w:ind w:left="4320" w:right="4320" w:hanging="0"/>
        <w:jc w:val="center"/>
        <w:rPr/>
      </w:pPr>
      <w:r>
        <w:rPr/>
        <w:t> </w:t>
      </w:r>
    </w:p>
    <w:p>
      <w:pPr>
        <w:pStyle w:val="TextBody"/>
        <w:bidi w:val="0"/>
        <w:spacing w:before="80" w:after="283"/>
        <w:ind w:left="0" w:right="0" w:firstLine="490"/>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3766"/>
        <w:gridCol w:w="146"/>
        <w:gridCol w:w="916"/>
        <w:gridCol w:w="146"/>
        <w:gridCol w:w="366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COAG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Nasdaq Global Select Market</w:t>
            </w:r>
          </w:p>
        </w:tc>
      </w:tr>
    </w:tbl>
    <w:p>
      <w:pPr>
        <w:pStyle w:val="TextBody"/>
        <w:bidi w:val="0"/>
        <w:spacing w:before="80" w:after="283"/>
        <w:ind w:left="0" w:right="0" w:firstLine="49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ind w:left="0" w:right="0" w:firstLine="490"/>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ind w:left="0" w:right="0" w:firstLine="49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ind w:left="0" w:right="0" w:firstLine="49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ind w:left="0" w:right="0" w:firstLine="490"/>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 xml:space="preserve">☒ </w:t>
      </w:r>
    </w:p>
    <w:p>
      <w:pPr>
        <w:pStyle w:val="TextBody"/>
        <w:bidi w:val="0"/>
        <w:spacing w:before="80" w:after="283"/>
        <w:ind w:left="0" w:right="0" w:firstLine="490"/>
        <w:jc w:val="left"/>
        <w:rPr>
          <w:rFonts w:ascii="Times New Roman" w:hAnsi="Times New Roman"/>
          <w:sz w:val="20"/>
        </w:rPr>
      </w:pPr>
      <w:r>
        <w:rPr>
          <w:rFonts w:ascii="Arial" w:hAnsi="Arial"/>
          <w:color w:val="000000"/>
          <w:sz w:val="18"/>
        </w:rPr>
        <w:t>As of July 31, 2026, the registrant had 46,712,117</w:t>
      </w:r>
      <w:r>
        <w:rPr>
          <w:rFonts w:ascii="Times New Roman" w:hAnsi="Times New Roman"/>
          <w:color w:val="000000"/>
          <w:sz w:val="20"/>
        </w:rPr>
        <w:t xml:space="preserve"> </w:t>
      </w:r>
      <w:r>
        <w:rPr>
          <w:rFonts w:ascii="Arial" w:hAnsi="Arial"/>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2"/>
        <w:gridCol w:w="8931"/>
        <w:gridCol w:w="542"/>
      </w:tblGrid>
      <w:tr>
        <w:trPr/>
        <w:tc>
          <w:tcPr>
            <w:tcW w:w="732" w:type="dxa"/>
            <w:tcBorders/>
            <w:vAlign w:val="center"/>
          </w:tcPr>
          <w:p>
            <w:pPr>
              <w:pStyle w:val="TableContents"/>
              <w:bidi w:val="0"/>
              <w:spacing w:before="0" w:after="283"/>
              <w:jc w:val="left"/>
              <w:rPr>
                <w:sz w:val="4"/>
                <w:szCs w:val="4"/>
              </w:rPr>
            </w:pPr>
            <w:r>
              <w:rPr>
                <w:sz w:val="4"/>
                <w:szCs w:val="4"/>
              </w:rPr>
            </w:r>
          </w:p>
        </w:tc>
        <w:tc>
          <w:tcPr>
            <w:tcW w:w="893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_regarding">
              <w:r>
                <w:rPr>
                  <w:rStyle w:val="InternetLink"/>
                  <w:rFonts w:ascii="Arial" w:hAnsi="Arial"/>
                  <w:color w:val="0000FF"/>
                  <w:sz w:val="20"/>
                  <w:u w:val="single"/>
                </w:rPr>
                <w:t>CAUTIONARY NOTE REGARDING FORWARD-LOOKING STATEMENTS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9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_summary">
              <w:r>
                <w:rPr>
                  <w:rStyle w:val="InternetLink"/>
                  <w:rFonts w:ascii="Arial" w:hAnsi="Arial"/>
                  <w:color w:val="0000FF"/>
                  <w:sz w:val="20"/>
                  <w:u w:val="single"/>
                </w:rPr>
                <w:t>RISK FACTOR SUMMARY</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Arial" w:hAnsi="Arial"/>
                  <w:b/>
                  <w:color w:val="0000FF"/>
                  <w:sz w:val="20"/>
                  <w:u w:val="single"/>
                </w:rPr>
                <w:t>FINANCIAL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_unaudited">
              <w:r>
                <w:rPr>
                  <w:rStyle w:val="InternetLink"/>
                  <w:rFonts w:ascii="Arial" w:hAnsi="Arial"/>
                  <w:color w:val="0000FF"/>
                  <w:sz w:val="20"/>
                  <w:u w:val="single"/>
                </w:rPr>
                <w:t>Financial Statements (Unaudited)</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 as of June 30, 2026 and December 31, 2025</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perations_comp_loss">
              <w:r>
                <w:rPr>
                  <w:rStyle w:val="InternetLink"/>
                  <w:rFonts w:ascii="Arial" w:hAnsi="Arial"/>
                  <w:color w:val="0000FF"/>
                  <w:sz w:val="20"/>
                  <w:u w:val="single"/>
                </w:rPr>
                <w:t>Condensed Consolidated Statements of Operations and Comprehensive Loss for the three and six months ended June 30, 2026 and 2025</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changes">
              <w:r>
                <w:rPr>
                  <w:rStyle w:val="InternetLink"/>
                  <w:rFonts w:ascii="Arial" w:hAnsi="Arial"/>
                  <w:color w:val="0000FF"/>
                  <w:sz w:val="20"/>
                  <w:u w:val="single"/>
                </w:rPr>
                <w:t>Condensed Consolidated Statements of Changes in Convertible Preference Shares, Convertible Preferred Stock and Stockholders’ Equity (Deficit) for the three months ended March 31, 2026 and 2025 and the three months ended June 30, 2026 and 2025</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cash_flows">
              <w:r>
                <w:rPr>
                  <w:rStyle w:val="InternetLink"/>
                  <w:rFonts w:ascii="Arial" w:hAnsi="Arial"/>
                  <w:color w:val="0000FF"/>
                  <w:sz w:val="20"/>
                  <w:u w:val="single"/>
                </w:rPr>
                <w:t>Condensed Consolidated Statements of Cash Flows for the six months ended June 30, 2026 and 2025</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000FF"/>
                  <w:sz w:val="20"/>
                  <w:u w:val="single"/>
                </w:rPr>
                <w:t>Notes to Unaudited Condensed Consolidated Financial Statements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_discussion_and_analysis">
              <w:r>
                <w:rPr>
                  <w:rStyle w:val="InternetLink"/>
                  <w:rFonts w:ascii="Arial" w:hAnsi="Arial"/>
                  <w:color w:val="0000FF"/>
                  <w:sz w:val="20"/>
                  <w:u w:val="single"/>
                </w:rPr>
                <w:t>Management’s Discussion and Analysis of Financial Condition and Results of Operations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Arial" w:hAnsi="Arial"/>
                  <w:color w:val="0000FF"/>
                  <w:sz w:val="20"/>
                  <w:u w:val="single"/>
                </w:rPr>
                <w:t>Quantitative and Qualitative Disclosures About Market Risk</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Arial" w:hAnsi="Arial"/>
                  <w:color w:val="0000FF"/>
                  <w:sz w:val="20"/>
                  <w:u w:val="single"/>
                </w:rPr>
                <w:t>Controls and Procedures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b/>
                  <w:color w:val="0000FF"/>
                  <w:sz w:val="20"/>
                  <w:u w:val="single"/>
                </w:rPr>
                <w:t>OTHER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Arial" w:hAnsi="Arial"/>
                  <w:color w:val="0000FF"/>
                  <w:sz w:val="20"/>
                  <w:u w:val="single"/>
                </w:rPr>
                <w:t>Legal Proceedings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Arial" w:hAnsi="Arial"/>
                  <w:color w:val="0000FF"/>
                  <w:sz w:val="20"/>
                  <w:u w:val="single"/>
                </w:rPr>
                <w:t>Risk Factors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Arial" w:hAnsi="Arial"/>
                  <w:color w:val="0000FF"/>
                  <w:sz w:val="20"/>
                  <w:u w:val="single"/>
                </w:rPr>
                <w:t>Unregistered Sales of Equity Securities and Use of Proceeds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Arial" w:hAnsi="Arial"/>
                  <w:color w:val="0000FF"/>
                  <w:sz w:val="20"/>
                  <w:u w:val="single"/>
                </w:rPr>
                <w:t>Defaults Upon Senior Securities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Arial" w:hAnsi="Arial"/>
                  <w:color w:val="0000FF"/>
                  <w:sz w:val="20"/>
                  <w:u w:val="single"/>
                </w:rPr>
                <w:t>Mine Safety Disclosures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_2">
              <w:r>
                <w:rPr>
                  <w:rStyle w:val="InternetLink"/>
                  <w:rFonts w:ascii="Arial" w:hAnsi="Arial"/>
                  <w:color w:val="0000FF"/>
                  <w:sz w:val="20"/>
                  <w:u w:val="single"/>
                </w:rPr>
                <w:t>Other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r>
      <w:tr>
        <w:trPr/>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Exhibits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r>
      <w:tr>
        <w:trPr/>
        <w:tc>
          <w:tcPr>
            <w:tcW w:w="9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cautionary_note_regarding"/>
      <w:bookmarkEnd w:id="2"/>
      <w:r>
        <w:rPr>
          <w:rFonts w:ascii="Arial" w:hAnsi="Arial"/>
          <w:b/>
          <w:color w:val="000000"/>
          <w:sz w:val="20"/>
        </w:rPr>
        <w:t>CAUTIONARY NOTE REGARDING FORWARD-LOOKING STATEMENTS</w:t>
      </w:r>
    </w:p>
    <w:p>
      <w:pPr>
        <w:pStyle w:val="TextBody"/>
        <w:bidi w:val="0"/>
        <w:spacing w:before="240" w:after="283"/>
        <w:jc w:val="left"/>
        <w:rPr>
          <w:rFonts w:ascii="Arial" w:hAnsi="Arial"/>
          <w:color w:val="000000"/>
          <w:sz w:val="20"/>
        </w:rPr>
      </w:pPr>
      <w:r>
        <w:rPr>
          <w:rFonts w:ascii="Arial" w:hAnsi="Arial"/>
          <w:color w:val="000000"/>
          <w:sz w:val="20"/>
        </w:rPr>
        <w:t>This Quarterly Report on Form 10-Q, or this Quarterly Report, contains forward-looking statements within the meaning of the U.S. Private Securities Litigation Reform Act and Section 21E of the Securities Exchange Act of 1934, as amended, that involve substantial risk and uncertainties. All statements, other than statements of historical fact, contained in this Quarterly Report, including statements regarding our strategy, future operations, future financial position, future revenue, projected costs, prospects, plans and objectives of management, are forward-looking statements. The words “anticipate,” “believe,” “contemplate,” “continue,” “could,” “estimate,” “expect,” “intend,” “may,” “might,” “plan,” “potential,” “predict,” “project,” “should,” “target,” “will,” “would,” or the negative of these words or other similar expressions are intended to identify forward-looking statements, although not all forward-looking statements contain these identifying words.</w:t>
      </w:r>
    </w:p>
    <w:p>
      <w:pPr>
        <w:pStyle w:val="TextBody"/>
        <w:bidi w:val="0"/>
        <w:spacing w:before="240" w:after="283"/>
        <w:jc w:val="left"/>
        <w:rPr>
          <w:rFonts w:ascii="Arial" w:hAnsi="Arial"/>
          <w:color w:val="000000"/>
          <w:sz w:val="20"/>
        </w:rPr>
      </w:pPr>
      <w:r>
        <w:rPr>
          <w:rFonts w:ascii="Arial" w:hAnsi="Arial"/>
          <w:color w:val="000000"/>
          <w:sz w:val="20"/>
        </w:rPr>
        <w:t>The forward-looking statements in this Quarterly Report include, among other things, statements about:</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initiation, timing, progress and results of our research and development programs and preclinical studies and clinical trials, including the timing of our planned Phase 3 clinical trial of sutacimig in patients with Glanzmann thrombasthenia and the timing of our first in-human studies of HMB-003;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estimates regarding expenses, future revenue, capital requirements, need for additional financing and the period over which we believe our cash, cash equivalents, and marketable securities will be sufficient to fund our operating expenses and capital expenditure requirements;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and our ability to complete clinical development of, submit applications for and obtain and maintain regulatory approvals for our current and future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advantages of our current and future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plans to develop and, if approved, subsequently commercialize any product candidates we may develop;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rate and degree of market acceptance and clinical utility of our products, if approved;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estimates regarding the addressable patient population and potential market opportunity for our current and future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commercialization, marketing and manufacturing capabilities and strategy;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regarding our ability to obtain and maintain intellectual property protection and to remain in compliance with our existing license agreements;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identify additional products, product candidates or technologies with significant commercial potential that are consistent with our commercial objectives;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attract and retain key scientific and management personnel;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regarding milestone and/or royalty payments under any of our current or future license agreements;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government laws and regulations, including any new regulatory requirements in the countries in which we operate;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competitive position and expectations regarding developments and projections relating to our competitors and any competing therapies that are or become available;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relating to our competitors and our industry;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reliance on and the performance of third parties that conduct clinical trials of our product candidates and manufacture our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identify, establish and maintain collaborations or obtain additional funding;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industry and market conditions, including rising interest rates, inflation and tariffs; and</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regarding the time during which we will be an emerging growth company under the JOBS Act or a smaller reporting company.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this Quarterly Report, particularly in Item 1A. “Risk Factors” in this Quarterly Report, that we believe could cause actual results or events to differ materially from the forward-looking statements that we make. Moreover, we operate in a competitive and rapidly changing environment. New risk factors and uncertainties may emerge from time to time, and it is not possible for us to predict all risk factors and uncertainties that could have an impact on us,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we may make or enter into.</w:t>
      </w:r>
    </w:p>
    <w:p>
      <w:pPr>
        <w:pStyle w:val="TextBody"/>
        <w:bidi w:val="0"/>
        <w:spacing w:before="240" w:after="283"/>
        <w:jc w:val="left"/>
        <w:rPr>
          <w:rFonts w:ascii="Arial" w:hAnsi="Arial"/>
          <w:color w:val="000000"/>
          <w:sz w:val="20"/>
        </w:rPr>
      </w:pPr>
      <w:r>
        <w:rPr>
          <w:rFonts w:ascii="Arial" w:hAnsi="Arial"/>
          <w:color w:val="000000"/>
          <w:sz w:val="20"/>
        </w:rPr>
        <w:t>You should read this Quarterly Report and the documents that we have filed or incorporated by reference as exhibits to this Quarterly Report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3" w:name="risk_factor_summary"/>
      <w:bookmarkEnd w:id="3"/>
      <w:r>
        <w:rPr>
          <w:rFonts w:ascii="Arial" w:hAnsi="Arial"/>
          <w:b/>
          <w:color w:val="000000"/>
          <w:sz w:val="20"/>
        </w:rPr>
        <w:t>RISK FACTOR SUMMARY</w:t>
      </w:r>
    </w:p>
    <w:p>
      <w:pPr>
        <w:pStyle w:val="TextBody"/>
        <w:bidi w:val="0"/>
        <w:spacing w:before="240" w:after="283"/>
        <w:jc w:val="left"/>
        <w:rPr>
          <w:rFonts w:ascii="Arial" w:hAnsi="Arial"/>
          <w:color w:val="000000"/>
          <w:sz w:val="20"/>
        </w:rPr>
      </w:pPr>
      <w:r>
        <w:rPr>
          <w:rFonts w:ascii="Arial" w:hAnsi="Arial"/>
          <w:color w:val="000000"/>
          <w:sz w:val="20"/>
        </w:rPr>
        <w:t>Our business is subject to a number of risks that, if realized, could materially affect our business, prospects, operating results and financial condition. These risks are discussed more fully in the “Risk Factors” section of this Quarterly Report. These risks include, but are not limited to, the following:</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incurred significant losses since our inception and have no products approved for sale. We expect to incur significant losses for the foreseeable future and may never achieve or maintain profitability.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never generated revenue from product sales and may never achieve or maintain profitability.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heavily dependent on the success of sutacimig, HMB-002 and HMB-003.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will need substantial additional funding. If we are unable to raise capital on acceptable terms when needed, or at all, we could be forced to delay, reduce or eliminate our product development programs or commercialization efforts.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limited operating history may make it difficult to evaluate the success of our business to date and to assess our future viability.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early in our clinical development efforts. If we are unable to successfully complete clinical development, obtain marketing approval for, and ultimately commercialize our product candidates, or experience significant delays in doing so, our business will be materially harmed.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drug development involves a lengthy and expensive process, with an uncertain outcome. We will be required to incur substantial costs and may experience delays in completing, or ultimately be unable to complete, the development and commercialization of any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outcome of preclinical studies and earlier-stage clinical trials may not be predictive of the success of later-stage clinical trials.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Serious adverse events of thrombosis have been identified in the development of sutacimig, and if additional serious adverse events or unacceptable side effects are identified during the development of our product candidates and any other product candidates we may develop, we may need to abandon or limit our development of those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engage in future acquisitions, this may increase our capital requirements, dilute our stockholders, cause us to incur debt or assume contingent liabilities, and subject us to other risks.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Even if any product candidate receives marketing approval, it may fail to achieve the degree of market acceptance by physicians, patients, third-party payors and others in the medical community necessary for commercial success.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face substantial competition, which may result in others discovering, developing or commercializing products before or more successfully than we do.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rely, and expect to continue to rely, on third parties to conduct our clinical trials, and those third parties may not perform satisfactorily, including failing to meet deadlines for the completion of such trials, which may harm our business.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contract with third parties for the manufacture of our product candidates, plan to contract with third parties for any other product candidates we may develop for preclinical and clinical testing and expect to continue to do so for commercialization. This reliance on third parties entails risks, including that such third parties may not be able to comply with applicable regulatory requirements. Any performance failure on the part of our existing or future manufacturers could delay clinical development or marketing approval.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fail to comply with our obligations under our existing license agreements with Novo Nordisk A/S and Genmab A/S, or under any future intellectual property licenses, or otherwise experience disruptions to our business relationships with our current or any future licensors, we could lose intellectual property rights that are important to our business.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maintain, enforce, defend and otherwise protect the intellectual property relating to our technology and product candidates, and if the scope of the intellectual property protection obtained is not sufficiently broad, our competitors or other third parties could develop and commercialize technology and products similar or identical to ours, and our ability to successfully develop and commercialize our technology and product candidates may be adversely affected.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Even if we complete the necessary preclinical studies and clinical trials, the marketing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 product candidate.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active trading market for our common stock may not continue to develop or be sustained.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Arial" w:hAnsi="Arial"/>
          <w:b/>
          <w:color w:val="000000"/>
          <w:sz w:val="20"/>
        </w:rPr>
      </w:pPr>
      <w:bookmarkStart w:id="4" w:name="financial_information"/>
      <w:bookmarkEnd w:id="4"/>
      <w:r>
        <w:rPr>
          <w:rFonts w:ascii="Arial" w:hAnsi="Arial"/>
          <w:b/>
          <w:color w:val="000000"/>
          <w:sz w:val="20"/>
        </w:rPr>
        <w:t>PART I—FINANCIAL INFORMATION</w:t>
      </w:r>
    </w:p>
    <w:p>
      <w:pPr>
        <w:pStyle w:val="TextBody"/>
        <w:bidi w:val="0"/>
        <w:jc w:val="center"/>
        <w:rPr>
          <w:rFonts w:ascii="Arial" w:hAnsi="Arial"/>
          <w:b/>
          <w:color w:val="000000"/>
          <w:sz w:val="20"/>
        </w:rPr>
      </w:pPr>
      <w:bookmarkStart w:id="5" w:name="financial_statements_unaudited"/>
      <w:bookmarkEnd w:id="5"/>
      <w:r>
        <w:rPr>
          <w:rFonts w:ascii="Arial" w:hAnsi="Arial"/>
          <w:b/>
          <w:color w:val="000000"/>
          <w:sz w:val="20"/>
        </w:rPr>
        <w:t>Item 1. Condensed Consolidated Financial Statements (Unaudited)</w:t>
      </w:r>
    </w:p>
    <w:p>
      <w:pPr>
        <w:pStyle w:val="TextBody"/>
        <w:bidi w:val="0"/>
        <w:spacing w:before="120" w:after="283"/>
        <w:jc w:val="center"/>
        <w:rPr>
          <w:rFonts w:ascii="Arial" w:hAnsi="Arial"/>
          <w:b/>
          <w:color w:val="000000"/>
          <w:sz w:val="20"/>
        </w:rPr>
      </w:pPr>
      <w:r>
        <w:rPr>
          <w:rFonts w:ascii="Arial" w:hAnsi="Arial"/>
          <w:b/>
          <w:color w:val="000000"/>
          <w:sz w:val="20"/>
        </w:rPr>
        <w:t>HEMAB THERAPEUTICS HOLDINGS, INC.</w:t>
      </w:r>
    </w:p>
    <w:p>
      <w:pPr>
        <w:pStyle w:val="TextBody"/>
        <w:bidi w:val="0"/>
        <w:spacing w:before="120" w:after="283"/>
        <w:jc w:val="center"/>
        <w:rPr>
          <w:rFonts w:ascii="Arial" w:hAnsi="Arial"/>
          <w:b/>
          <w:color w:val="000000"/>
          <w:sz w:val="20"/>
        </w:rPr>
      </w:pPr>
      <w:bookmarkStart w:id="6" w:name="condensed_consolidated_balance_sheets"/>
      <w:bookmarkEnd w:id="6"/>
      <w:r>
        <w:rPr>
          <w:rFonts w:ascii="Arial" w:hAnsi="Arial"/>
          <w:b/>
          <w:color w:val="000000"/>
          <w:sz w:val="20"/>
        </w:rPr>
        <w:t>Condensed Consolidated Balance Sheets</w:t>
      </w:r>
    </w:p>
    <w:p>
      <w:pPr>
        <w:pStyle w:val="TextBody"/>
        <w:bidi w:val="0"/>
        <w:jc w:val="center"/>
        <w:rPr>
          <w:rFonts w:ascii="Arial" w:hAnsi="Arial"/>
          <w:color w:val="000000"/>
          <w:sz w:val="20"/>
        </w:rPr>
      </w:pPr>
      <w:r>
        <w:rPr>
          <w:rFonts w:ascii="Arial" w:hAnsi="Arial"/>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9"/>
        <w:gridCol w:w="146"/>
        <w:gridCol w:w="196"/>
        <w:gridCol w:w="751"/>
        <w:gridCol w:w="166"/>
        <w:gridCol w:w="146"/>
        <w:gridCol w:w="231"/>
        <w:gridCol w:w="887"/>
        <w:gridCol w:w="613"/>
      </w:tblGrid>
      <w:tr>
        <w:trPr/>
        <w:tc>
          <w:tcPr>
            <w:tcW w:w="7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87,974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97,511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7,066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192,551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467,781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194,783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 convertible preference shares, convertible preferred stock and</w:t>
              <w:br/>
              <w:t>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5,734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10,677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11,250</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Convertible preference shares and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Series Seed convertible preferred stock and convertible preference shares, $0.0001</w:t>
            </w:r>
            <w:r>
              <w:rPr>
                <w:rFonts w:ascii="Times New Roman" w:hAnsi="Times New Roman"/>
                <w:color w:val="000000"/>
                <w:sz w:val="20"/>
              </w:rPr>
              <w:t> </w:t>
            </w:r>
            <w:r>
              <w:rPr>
                <w:rFonts w:ascii="Arial" w:hAnsi="Arial"/>
                <w:color w:val="000000"/>
                <w:sz w:val="16"/>
              </w:rPr>
              <w:t xml:space="preserve">par value </w:t>
              <w:br/>
              <w:t>   and DKK 1</w:t>
            </w:r>
            <w:r>
              <w:rPr>
                <w:rFonts w:ascii="Times New Roman" w:hAnsi="Times New Roman"/>
                <w:color w:val="000000"/>
                <w:sz w:val="20"/>
              </w:rPr>
              <w:t> </w:t>
            </w:r>
            <w:r>
              <w:rPr>
                <w:rFonts w:ascii="Arial" w:hAnsi="Arial"/>
                <w:color w:val="000000"/>
                <w:sz w:val="16"/>
              </w:rPr>
              <w:t>par value as of June 30, 2026 and December 31, 2025, respectively; no</w:t>
            </w:r>
            <w:r>
              <w:rPr>
                <w:rFonts w:ascii="Times New Roman" w:hAnsi="Times New Roman"/>
                <w:color w:val="000000"/>
                <w:sz w:val="20"/>
              </w:rPr>
              <w:t> </w:t>
            </w:r>
            <w:r>
              <w:rPr>
                <w:rFonts w:ascii="Arial" w:hAnsi="Arial"/>
                <w:color w:val="000000"/>
                <w:sz w:val="16"/>
              </w:rPr>
              <w:br/>
              <w:t>   shares and 23,343</w:t>
            </w:r>
            <w:r>
              <w:rPr>
                <w:rFonts w:ascii="Times New Roman" w:hAnsi="Times New Roman"/>
                <w:color w:val="000000"/>
                <w:sz w:val="20"/>
              </w:rPr>
              <w:t> </w:t>
            </w:r>
            <w:r>
              <w:rPr>
                <w:rFonts w:ascii="Arial" w:hAnsi="Arial"/>
                <w:color w:val="000000"/>
                <w:sz w:val="16"/>
              </w:rPr>
              <w:t xml:space="preserve">shares authorized, issued and outstanding as of June 30, 2026 and </w:t>
              <w:br/>
              <w:t>   December 31, 2025, respectively; liquidation preference of $0</w:t>
            </w:r>
            <w:r>
              <w:rPr>
                <w:rFonts w:ascii="Times New Roman" w:hAnsi="Times New Roman"/>
                <w:color w:val="000000"/>
                <w:sz w:val="20"/>
              </w:rPr>
              <w:t> </w:t>
            </w:r>
            <w:r>
              <w:rPr>
                <w:rFonts w:ascii="Arial" w:hAnsi="Arial"/>
                <w:color w:val="000000"/>
                <w:sz w:val="16"/>
              </w:rPr>
              <w:t>and $2,939</w:t>
            </w:r>
            <w:r>
              <w:rPr>
                <w:rFonts w:ascii="Times New Roman" w:hAnsi="Times New Roman"/>
                <w:color w:val="000000"/>
                <w:sz w:val="20"/>
              </w:rPr>
              <w:t> </w:t>
            </w:r>
            <w:r>
              <w:rPr>
                <w:rFonts w:ascii="Arial" w:hAnsi="Arial"/>
                <w:color w:val="000000"/>
                <w:sz w:val="16"/>
              </w:rPr>
              <w:t xml:space="preserve">as of June 30, 2026 </w:t>
              <w:br/>
              <w:t>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Series A convertible preferred stock and convertible preference shares, $0.0001</w:t>
            </w:r>
            <w:r>
              <w:rPr>
                <w:rFonts w:ascii="Times New Roman" w:hAnsi="Times New Roman"/>
                <w:color w:val="000000"/>
                <w:sz w:val="20"/>
              </w:rPr>
              <w:t> </w:t>
            </w:r>
            <w:r>
              <w:rPr>
                <w:rFonts w:ascii="Arial" w:hAnsi="Arial"/>
                <w:color w:val="000000"/>
                <w:sz w:val="16"/>
              </w:rPr>
              <w:t>par value</w:t>
              <w:br/>
              <w:t>   and DKK 1</w:t>
            </w:r>
            <w:r>
              <w:rPr>
                <w:rFonts w:ascii="Times New Roman" w:hAnsi="Times New Roman"/>
                <w:color w:val="000000"/>
                <w:sz w:val="20"/>
              </w:rPr>
              <w:t> </w:t>
            </w:r>
            <w:r>
              <w:rPr>
                <w:rFonts w:ascii="Arial" w:hAnsi="Arial"/>
                <w:color w:val="000000"/>
                <w:sz w:val="16"/>
              </w:rPr>
              <w:t>par value as of June 30, 2026 and December 31, 2025, respectively; no</w:t>
            </w:r>
            <w:r>
              <w:rPr>
                <w:rFonts w:ascii="Times New Roman" w:hAnsi="Times New Roman"/>
                <w:color w:val="000000"/>
                <w:sz w:val="20"/>
              </w:rPr>
              <w:t> </w:t>
            </w:r>
            <w:r>
              <w:rPr>
                <w:rFonts w:ascii="Arial" w:hAnsi="Arial"/>
                <w:color w:val="000000"/>
                <w:sz w:val="16"/>
              </w:rPr>
              <w:t xml:space="preserve">shares and </w:t>
              <w:br/>
              <w:t>   225,866</w:t>
            </w:r>
            <w:r>
              <w:rPr>
                <w:rFonts w:ascii="Times New Roman" w:hAnsi="Times New Roman"/>
                <w:color w:val="000000"/>
                <w:sz w:val="20"/>
              </w:rPr>
              <w:t> </w:t>
            </w:r>
            <w:r>
              <w:rPr>
                <w:rFonts w:ascii="Arial" w:hAnsi="Arial"/>
                <w:color w:val="000000"/>
                <w:sz w:val="16"/>
              </w:rPr>
              <w:t xml:space="preserve">shares authorized, issued and outstanding as of June 30, 2026 and December 31, </w:t>
              <w:br/>
              <w:t>   2025, respectively; liquidation preference of $0</w:t>
            </w:r>
            <w:r>
              <w:rPr>
                <w:rFonts w:ascii="Times New Roman" w:hAnsi="Times New Roman"/>
                <w:color w:val="000000"/>
                <w:sz w:val="20"/>
              </w:rPr>
              <w:t> </w:t>
            </w:r>
            <w:r>
              <w:rPr>
                <w:rFonts w:ascii="Arial" w:hAnsi="Arial"/>
                <w:color w:val="000000"/>
                <w:sz w:val="16"/>
              </w:rPr>
              <w:t>and $54,528</w:t>
            </w:r>
            <w:r>
              <w:rPr>
                <w:rFonts w:ascii="Times New Roman" w:hAnsi="Times New Roman"/>
                <w:color w:val="000000"/>
                <w:sz w:val="20"/>
              </w:rPr>
              <w:t> </w:t>
            </w:r>
            <w:r>
              <w:rPr>
                <w:rFonts w:ascii="Arial" w:hAnsi="Arial"/>
                <w:color w:val="000000"/>
                <w:sz w:val="16"/>
              </w:rPr>
              <w:t xml:space="preserve">as of June 30, 2026 and </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63,536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Series B convertible preferred stock and convertible preference shares, $0.0001</w:t>
            </w:r>
            <w:r>
              <w:rPr>
                <w:rFonts w:ascii="Times New Roman" w:hAnsi="Times New Roman"/>
                <w:color w:val="000000"/>
                <w:sz w:val="20"/>
              </w:rPr>
              <w:t> </w:t>
            </w:r>
            <w:r>
              <w:rPr>
                <w:rFonts w:ascii="Arial" w:hAnsi="Arial"/>
                <w:color w:val="000000"/>
                <w:sz w:val="16"/>
              </w:rPr>
              <w:t>par value</w:t>
              <w:br/>
              <w:t>   and DKK 1</w:t>
            </w:r>
            <w:r>
              <w:rPr>
                <w:rFonts w:ascii="Times New Roman" w:hAnsi="Times New Roman"/>
                <w:color w:val="000000"/>
                <w:sz w:val="20"/>
              </w:rPr>
              <w:t> </w:t>
            </w:r>
            <w:r>
              <w:rPr>
                <w:rFonts w:ascii="Arial" w:hAnsi="Arial"/>
                <w:color w:val="000000"/>
                <w:sz w:val="16"/>
              </w:rPr>
              <w:t>par value as of June 30, 2026 and December 31, 2025, respectively; no</w:t>
            </w:r>
            <w:r>
              <w:rPr>
                <w:rFonts w:ascii="Times New Roman" w:hAnsi="Times New Roman"/>
                <w:color w:val="000000"/>
                <w:sz w:val="20"/>
              </w:rPr>
              <w:t> </w:t>
            </w:r>
            <w:r>
              <w:rPr>
                <w:rFonts w:ascii="Arial" w:hAnsi="Arial"/>
                <w:color w:val="000000"/>
                <w:sz w:val="16"/>
              </w:rPr>
              <w:t xml:space="preserve">shares and </w:t>
              <w:br/>
              <w:t>   442,205</w:t>
            </w:r>
            <w:r>
              <w:rPr>
                <w:rFonts w:ascii="Times New Roman" w:hAnsi="Times New Roman"/>
                <w:color w:val="000000"/>
                <w:sz w:val="20"/>
              </w:rPr>
              <w:t> </w:t>
            </w:r>
            <w:r>
              <w:rPr>
                <w:rFonts w:ascii="Arial" w:hAnsi="Arial"/>
                <w:color w:val="000000"/>
                <w:sz w:val="16"/>
              </w:rPr>
              <w:t xml:space="preserve">shares authorized, issued and outstanding as of June 30, 2026 and December 31, 2025, </w:t>
              <w:br/>
              <w:t>   respectively; liquidation preference of $0</w:t>
            </w:r>
            <w:r>
              <w:rPr>
                <w:rFonts w:ascii="Times New Roman" w:hAnsi="Times New Roman"/>
                <w:color w:val="000000"/>
                <w:sz w:val="20"/>
              </w:rPr>
              <w:t> </w:t>
            </w:r>
            <w:r>
              <w:rPr>
                <w:rFonts w:ascii="Arial" w:hAnsi="Arial"/>
                <w:color w:val="000000"/>
                <w:sz w:val="16"/>
              </w:rPr>
              <w:t>and $135,248</w:t>
            </w:r>
            <w:r>
              <w:rPr>
                <w:rFonts w:ascii="Times New Roman" w:hAnsi="Times New Roman"/>
                <w:color w:val="000000"/>
                <w:sz w:val="20"/>
              </w:rPr>
              <w:t> </w:t>
            </w:r>
            <w:r>
              <w:rPr>
                <w:rFonts w:ascii="Arial" w:hAnsi="Arial"/>
                <w:color w:val="000000"/>
                <w:sz w:val="16"/>
              </w:rPr>
              <w:t xml:space="preserve">as of June 30, 2026 and </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134,975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Series C convertible preferred stock and convertible preference shares, $0.0001</w:t>
            </w:r>
            <w:r>
              <w:rPr>
                <w:rFonts w:ascii="Times New Roman" w:hAnsi="Times New Roman"/>
                <w:color w:val="000000"/>
                <w:sz w:val="20"/>
              </w:rPr>
              <w:t> </w:t>
            </w:r>
            <w:r>
              <w:rPr>
                <w:rFonts w:ascii="Arial" w:hAnsi="Arial"/>
                <w:color w:val="000000"/>
                <w:sz w:val="16"/>
              </w:rPr>
              <w:t>par value</w:t>
              <w:br/>
              <w:t>   and DKK 1</w:t>
            </w:r>
            <w:r>
              <w:rPr>
                <w:rFonts w:ascii="Times New Roman" w:hAnsi="Times New Roman"/>
                <w:color w:val="000000"/>
                <w:sz w:val="20"/>
              </w:rPr>
              <w:t> </w:t>
            </w:r>
            <w:r>
              <w:rPr>
                <w:rFonts w:ascii="Arial" w:hAnsi="Arial"/>
                <w:color w:val="000000"/>
                <w:sz w:val="16"/>
              </w:rPr>
              <w:t>par value as of June 30, 2026 and December 31, 2025, respectively; no</w:t>
            </w:r>
            <w:r>
              <w:rPr>
                <w:rFonts w:ascii="Times New Roman" w:hAnsi="Times New Roman"/>
                <w:color w:val="000000"/>
                <w:sz w:val="20"/>
              </w:rPr>
              <w:t> </w:t>
            </w:r>
            <w:r>
              <w:rPr>
                <w:rFonts w:ascii="Arial" w:hAnsi="Arial"/>
                <w:color w:val="000000"/>
                <w:sz w:val="16"/>
              </w:rPr>
              <w:t xml:space="preserve">shares and </w:t>
              <w:br/>
              <w:t>   512,991</w:t>
            </w:r>
            <w:r>
              <w:rPr>
                <w:rFonts w:ascii="Times New Roman" w:hAnsi="Times New Roman"/>
                <w:color w:val="000000"/>
                <w:sz w:val="20"/>
              </w:rPr>
              <w:t> </w:t>
            </w:r>
            <w:r>
              <w:rPr>
                <w:rFonts w:ascii="Arial" w:hAnsi="Arial"/>
                <w:color w:val="000000"/>
                <w:sz w:val="16"/>
              </w:rPr>
              <w:t xml:space="preserve">shares authorized, issued and outstanding as of June 30, 2026 and December 31, 2025, </w:t>
              <w:br/>
              <w:t>   respectively; liquidation preference of $0</w:t>
            </w:r>
            <w:r>
              <w:rPr>
                <w:rFonts w:ascii="Times New Roman" w:hAnsi="Times New Roman"/>
                <w:color w:val="000000"/>
                <w:sz w:val="20"/>
              </w:rPr>
              <w:t> </w:t>
            </w:r>
            <w:r>
              <w:rPr>
                <w:rFonts w:ascii="Arial" w:hAnsi="Arial"/>
                <w:color w:val="000000"/>
                <w:sz w:val="16"/>
              </w:rPr>
              <w:t>and $156,898</w:t>
            </w:r>
            <w:r>
              <w:rPr>
                <w:rFonts w:ascii="Times New Roman" w:hAnsi="Times New Roman"/>
                <w:color w:val="000000"/>
                <w:sz w:val="20"/>
              </w:rPr>
              <w:t> </w:t>
            </w:r>
            <w:r>
              <w:rPr>
                <w:rFonts w:ascii="Arial" w:hAnsi="Arial"/>
                <w:color w:val="000000"/>
                <w:sz w:val="16"/>
              </w:rP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156,421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Ordinary shares, DKK 1</w:t>
            </w:r>
            <w:r>
              <w:rPr>
                <w:rFonts w:ascii="Times New Roman" w:hAnsi="Times New Roman"/>
                <w:color w:val="000000"/>
                <w:sz w:val="20"/>
              </w:rPr>
              <w:t> </w:t>
            </w:r>
            <w:r>
              <w:rPr>
                <w:rFonts w:ascii="Arial" w:hAnsi="Arial"/>
                <w:color w:val="000000"/>
                <w:sz w:val="16"/>
              </w:rPr>
              <w:t>par value; no</w:t>
            </w:r>
            <w:r>
              <w:rPr>
                <w:rFonts w:ascii="Times New Roman" w:hAnsi="Times New Roman"/>
                <w:color w:val="000000"/>
                <w:sz w:val="20"/>
              </w:rPr>
              <w:t> </w:t>
            </w:r>
            <w:r>
              <w:rPr>
                <w:rFonts w:ascii="Arial" w:hAnsi="Arial"/>
                <w:color w:val="000000"/>
                <w:sz w:val="16"/>
              </w:rPr>
              <w:t>shares and 946,000</w:t>
            </w:r>
            <w:r>
              <w:rPr>
                <w:rFonts w:ascii="Times New Roman" w:hAnsi="Times New Roman"/>
                <w:color w:val="000000"/>
                <w:sz w:val="20"/>
              </w:rPr>
              <w:t> </w:t>
            </w:r>
            <w:r>
              <w:rPr>
                <w:rFonts w:ascii="Arial" w:hAnsi="Arial"/>
                <w:color w:val="000000"/>
                <w:sz w:val="16"/>
              </w:rPr>
              <w:t>shares authorized, issued, and</w:t>
              <w:br/>
              <w:t>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Common stock, $0.0001</w:t>
            </w:r>
            <w:r>
              <w:rPr>
                <w:rFonts w:ascii="Times New Roman" w:hAnsi="Times New Roman"/>
                <w:color w:val="000000"/>
                <w:sz w:val="20"/>
              </w:rPr>
              <w:t> </w:t>
            </w:r>
            <w:r>
              <w:rPr>
                <w:rFonts w:ascii="Arial" w:hAnsi="Arial"/>
                <w:color w:val="000000"/>
                <w:sz w:val="16"/>
              </w:rPr>
              <w:t>par value; 400,000,000</w:t>
            </w:r>
            <w:r>
              <w:rPr>
                <w:rFonts w:ascii="Times New Roman" w:hAnsi="Times New Roman"/>
                <w:color w:val="000000"/>
                <w:sz w:val="20"/>
              </w:rPr>
              <w:t> </w:t>
            </w:r>
            <w:r>
              <w:rPr>
                <w:rFonts w:ascii="Arial" w:hAnsi="Arial"/>
                <w:color w:val="000000"/>
                <w:sz w:val="16"/>
              </w:rPr>
              <w:t>shares and no</w:t>
            </w:r>
            <w:r>
              <w:rPr>
                <w:rFonts w:ascii="Times New Roman" w:hAnsi="Times New Roman"/>
                <w:color w:val="000000"/>
                <w:sz w:val="20"/>
              </w:rPr>
              <w:t> </w:t>
            </w:r>
            <w:r>
              <w:rPr>
                <w:rFonts w:ascii="Arial" w:hAnsi="Arial"/>
                <w:color w:val="000000"/>
                <w:sz w:val="16"/>
              </w:rPr>
              <w:t>shares authorized</w:t>
              <w:br/>
              <w:t>   as of June 30, 2026 and December 31, 2025, respectively; 46,705,410</w:t>
            </w:r>
            <w:r>
              <w:rPr>
                <w:rFonts w:ascii="Times New Roman" w:hAnsi="Times New Roman"/>
                <w:color w:val="000000"/>
                <w:sz w:val="20"/>
              </w:rPr>
              <w:t> </w:t>
            </w:r>
            <w:r>
              <w:rPr>
                <w:rFonts w:ascii="Arial" w:hAnsi="Arial"/>
                <w:color w:val="000000"/>
                <w:sz w:val="16"/>
              </w:rPr>
              <w:t>shares and no</w:t>
              <w:br/>
              <w:t>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6"/>
              </w:rPr>
              <w:t>Preferred stock, $0.0001</w:t>
            </w:r>
            <w:r>
              <w:rPr>
                <w:rFonts w:ascii="Times New Roman" w:hAnsi="Times New Roman"/>
                <w:color w:val="000000"/>
                <w:sz w:val="20"/>
              </w:rPr>
              <w:t> </w:t>
            </w:r>
            <w:r>
              <w:rPr>
                <w:rFonts w:ascii="Arial" w:hAnsi="Arial"/>
                <w:color w:val="000000"/>
                <w:sz w:val="16"/>
              </w:rPr>
              <w:t>par value; 5,000,000</w:t>
            </w:r>
            <w:r>
              <w:rPr>
                <w:rFonts w:ascii="Times New Roman" w:hAnsi="Times New Roman"/>
                <w:color w:val="000000"/>
                <w:sz w:val="20"/>
              </w:rPr>
              <w:t> </w:t>
            </w:r>
            <w:r>
              <w:rPr>
                <w:rFonts w:ascii="Arial" w:hAnsi="Arial"/>
                <w:color w:val="000000"/>
                <w:sz w:val="16"/>
              </w:rPr>
              <w:t>shares and no</w:t>
            </w:r>
            <w:r>
              <w:rPr>
                <w:rFonts w:ascii="Times New Roman" w:hAnsi="Times New Roman"/>
                <w:color w:val="000000"/>
                <w:sz w:val="20"/>
              </w:rPr>
              <w:t> </w:t>
            </w:r>
            <w:r>
              <w:rPr>
                <w:rFonts w:ascii="Arial" w:hAnsi="Arial"/>
                <w:color w:val="000000"/>
                <w:sz w:val="16"/>
              </w:rPr>
              <w:t xml:space="preserve">shares authorized as of June 30, </w:t>
              <w:br/>
              <w:t>   2026 and December 31, 2025, respectively; no</w:t>
            </w:r>
            <w:r>
              <w:rPr>
                <w:rFonts w:ascii="Times New Roman" w:hAnsi="Times New Roman"/>
                <w:color w:val="000000"/>
                <w:sz w:val="20"/>
              </w:rPr>
              <w:t> </w:t>
            </w:r>
            <w:r>
              <w:rPr>
                <w:rFonts w:ascii="Arial" w:hAnsi="Arial"/>
                <w:color w:val="000000"/>
                <w:sz w:val="16"/>
              </w:rPr>
              <w:t xml:space="preserve">shares issued and outstanding as of June 30, </w:t>
              <w:br/>
              <w:t>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4,916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(181,858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(176,635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7069"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6"/>
              </w:rPr>
            </w:pPr>
            <w:r>
              <w:rPr>
                <w:rFonts w:ascii="Arial" w:hAnsi="Arial"/>
                <w:color w:val="000000"/>
                <w:sz w:val="16"/>
              </w:rPr>
              <w:t>Total liabilities, convertible preference shares, convertible preferred stock</w:t>
              <w:br/>
              <w:t>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467,781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194,783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See accompanying notes to the financial statements.</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HEMAB THERAPEUTICS HOLDINGS, INC.</w:t>
      </w:r>
    </w:p>
    <w:p>
      <w:pPr>
        <w:pStyle w:val="TextBody"/>
        <w:bidi w:val="0"/>
        <w:jc w:val="center"/>
        <w:rPr>
          <w:rFonts w:ascii="Arial" w:hAnsi="Arial"/>
          <w:b/>
          <w:color w:val="000000"/>
          <w:sz w:val="20"/>
        </w:rPr>
      </w:pPr>
      <w:bookmarkStart w:id="7" w:name="condensed_stmt_operations_comp_loss"/>
      <w:bookmarkEnd w:id="7"/>
      <w:r>
        <w:rPr>
          <w:rFonts w:ascii="Arial" w:hAnsi="Arial"/>
          <w:b/>
          <w:color w:val="000000"/>
          <w:sz w:val="20"/>
        </w:rPr>
        <w:t>Condensed Consolidated Statements of Operations and Comprehensive Loss</w:t>
      </w:r>
    </w:p>
    <w:p>
      <w:pPr>
        <w:pStyle w:val="TextBody"/>
        <w:bidi w:val="0"/>
        <w:jc w:val="center"/>
        <w:rPr>
          <w:rFonts w:ascii="Arial" w:hAnsi="Arial"/>
          <w:color w:val="000000"/>
          <w:sz w:val="20"/>
        </w:rPr>
      </w:pPr>
      <w:r>
        <w:rPr>
          <w:rFonts w:ascii="Arial" w:hAnsi="Arial"/>
          <w:color w:val="000000"/>
          <w:sz w:val="20"/>
        </w:rPr>
        <w:t>(in thousands, except share and per share amounts)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04"/>
        <w:gridCol w:w="146"/>
        <w:gridCol w:w="211"/>
        <w:gridCol w:w="1066"/>
        <w:gridCol w:w="166"/>
        <w:gridCol w:w="146"/>
        <w:gridCol w:w="211"/>
        <w:gridCol w:w="796"/>
        <w:gridCol w:w="166"/>
        <w:gridCol w:w="146"/>
        <w:gridCol w:w="211"/>
        <w:gridCol w:w="1066"/>
        <w:gridCol w:w="166"/>
        <w:gridCol w:w="146"/>
        <w:gridCol w:w="211"/>
        <w:gridCol w:w="796"/>
        <w:gridCol w:w="751"/>
      </w:tblGrid>
      <w:tr>
        <w:trPr/>
        <w:tc>
          <w:tcPr>
            <w:tcW w:w="3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32,617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(32,617</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(27,701</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(27,515</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outstanding, basic and</w:t>
              <w:br/>
              <w: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30,111,338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15,609,236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946,000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unrealized (loss) gain on available-for-sale debt</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(27,150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See accompanying notes to the financial statements.</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HEMAB THERAPEUTICS HOLDINGS, INC.</w:t>
      </w:r>
    </w:p>
    <w:p>
      <w:pPr>
        <w:pStyle w:val="TextBody"/>
        <w:bidi w:val="0"/>
        <w:jc w:val="center"/>
        <w:rPr>
          <w:rFonts w:ascii="Arial" w:hAnsi="Arial"/>
          <w:b/>
          <w:color w:val="000000"/>
          <w:sz w:val="20"/>
        </w:rPr>
      </w:pPr>
      <w:bookmarkStart w:id="8" w:name="condensed_consolidated_stmt_of_changes"/>
      <w:bookmarkEnd w:id="8"/>
      <w:r>
        <w:rPr>
          <w:rFonts w:ascii="Arial" w:hAnsi="Arial"/>
          <w:b/>
          <w:color w:val="000000"/>
          <w:sz w:val="20"/>
        </w:rPr>
        <w:t>Condensed Consolidated Statements of Changes in Convertible Preference Shares, Convertible Preferred Stock and Stockholders’ Equity (Deficit)</w:t>
      </w:r>
    </w:p>
    <w:p>
      <w:pPr>
        <w:pStyle w:val="TextBody"/>
        <w:bidi w:val="0"/>
        <w:jc w:val="center"/>
        <w:rPr>
          <w:rFonts w:ascii="Arial" w:hAnsi="Arial"/>
          <w:color w:val="000000"/>
          <w:sz w:val="19"/>
        </w:rPr>
      </w:pPr>
      <w:r>
        <w:rPr>
          <w:rFonts w:ascii="Arial" w:hAnsi="Arial"/>
          <w:color w:val="000000"/>
          <w:sz w:val="19"/>
        </w:rPr>
        <w:t>(in thousands, except share amounts)</w:t>
      </w:r>
    </w:p>
    <w:p>
      <w:pPr>
        <w:pStyle w:val="TextBody"/>
        <w:bidi w:val="0"/>
        <w:jc w:val="center"/>
        <w:rPr>
          <w:rFonts w:ascii="Arial" w:hAnsi="Arial"/>
          <w:color w:val="000000"/>
          <w:sz w:val="19"/>
        </w:rPr>
      </w:pPr>
      <w:r>
        <w:rPr>
          <w:rFonts w:ascii="Arial" w:hAnsi="Arial"/>
          <w:color w:val="000000"/>
          <w:sz w:val="19"/>
        </w:rPr>
        <w:t>(unaudited)</w:t>
      </w:r>
    </w:p>
    <w:p>
      <w:pPr>
        <w:pStyle w:val="TextBody"/>
        <w:bidi w:val="0"/>
        <w:jc w:val="left"/>
        <w:rPr/>
      </w:pPr>
      <w:r>
        <w:rPr/>
        <w:t> </w:t>
      </w:r>
    </w:p>
    <w:tbl>
      <w:tblPr>
        <w:tblW w:w="16875" w:type="dxa"/>
        <w:jc w:val="left"/>
        <w:tblInd w:w="0" w:type="dxa"/>
        <w:tblLayout w:type="fixed"/>
        <w:tblCellMar>
          <w:top w:w="28" w:type="dxa"/>
          <w:left w:w="28" w:type="dxa"/>
          <w:bottom w:w="28" w:type="dxa"/>
          <w:right w:w="28" w:type="dxa"/>
        </w:tblCellMar>
      </w:tblPr>
      <w:tblGrid>
        <w:gridCol w:w="916"/>
        <w:gridCol w:w="481"/>
        <w:gridCol w:w="571"/>
        <w:gridCol w:w="541"/>
        <w:gridCol w:w="571"/>
        <w:gridCol w:w="541"/>
        <w:gridCol w:w="571"/>
        <w:gridCol w:w="541"/>
        <w:gridCol w:w="571"/>
        <w:gridCol w:w="481"/>
        <w:gridCol w:w="571"/>
        <w:gridCol w:w="541"/>
        <w:gridCol w:w="571"/>
        <w:gridCol w:w="541"/>
        <w:gridCol w:w="571"/>
        <w:gridCol w:w="541"/>
        <w:gridCol w:w="146"/>
        <w:gridCol w:w="571"/>
        <w:gridCol w:w="146"/>
        <w:gridCol w:w="146"/>
        <w:gridCol w:w="541"/>
        <w:gridCol w:w="146"/>
        <w:gridCol w:w="571"/>
        <w:gridCol w:w="146"/>
        <w:gridCol w:w="646"/>
        <w:gridCol w:w="146"/>
        <w:gridCol w:w="571"/>
        <w:gridCol w:w="146"/>
        <w:gridCol w:w="691"/>
        <w:gridCol w:w="146"/>
        <w:gridCol w:w="976"/>
        <w:gridCol w:w="146"/>
        <w:gridCol w:w="841"/>
        <w:gridCol w:w="146"/>
        <w:gridCol w:w="886"/>
      </w:tblGrid>
      <w:tr>
        <w:trPr/>
        <w:tc>
          <w:tcPr>
            <w:tcW w:w="91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Seed Convertible</w:t>
              <w:br/>
              <w:t>Preference Shares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A Convertible</w:t>
              <w:br/>
              <w:t>Preference Shares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B Convertible</w:t>
              <w:br/>
              <w:t>Preference Shares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C Convertible</w:t>
              <w:br/>
              <w:t>Preference Shares</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Seed Convertible</w:t>
              <w:br/>
              <w:t>Preferred Stock</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A Convertible</w:t>
              <w:br/>
              <w:t>Preferred Stock</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B Convertible</w:t>
              <w:br/>
              <w:t>Preferred Stock</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C Convertible Preferred Stock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 Paid-</w:t>
              <w:br/>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at December 31, 2024</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23,343</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225,866</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442,205</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$134,975</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$(117,945)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$(115,273)</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Equity-based</w:t>
              <w:br/>
              <w:t>   compensation</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459</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w:t>
              <w:br/>
              <w:t>   income</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974</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(15,306)</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at March 31,</w:t>
              <w:br/>
              <w:t>   2025</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23,343</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225,866</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442,205</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134,975</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(133,251)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(129,146)</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Equity-based</w:t>
              <w:br/>
              <w:t>   compensation</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494</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w:t>
              <w:br/>
              <w:t>   income</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(609)</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(12,209)</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at June 30, 2025</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23,343</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225,866</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442,205</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$134,975</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$(145,460)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$(141,470)</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Seed Convertible</w:t>
              <w:br/>
              <w:t>Preference Shares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A Convertible</w:t>
              <w:br/>
              <w:t>Preference Shares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B Convertible</w:t>
              <w:br/>
              <w:t>Preference Shares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C Convertible</w:t>
              <w:br/>
              <w:t>Preference Shares</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Seed Convertible</w:t>
              <w:br/>
              <w:t>Preferred Stock</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A Convertible</w:t>
              <w:br/>
              <w:t>Preferred Stock</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B Convertible</w:t>
              <w:br/>
              <w:t>Preferred Stock</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C Convertible Preferred Stock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 Paid-</w:t>
              <w:br/>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Equity (Deficit)</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at December 31, 2025</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23,343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$5,236</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225,866</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$63,536</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442,205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$134,975</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512,991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$156,421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$(181,858)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$(176,635)</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Effect of Reorganization</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(23,343)</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(225,866)</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(442,205)</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(134,975)</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(512,991)</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(156,421)</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23,343</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225,866</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442,205</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134,975</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512,991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156,421</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Equity-based</w:t>
              <w:br/>
              <w:t>   compensation</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1,318</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w:t>
              <w:br/>
              <w:t>   income</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(614)</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(22,687)</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at March 31,</w:t>
              <w:br/>
              <w:t>   2026</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23,343</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225,866</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442,205</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134,975</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512,991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156,421</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(204,545)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(198,618)</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2"/>
              </w:rPr>
              <w:t xml:space="preserve">Issuance of common stock </w:t>
              <w:br/>
              <w:t xml:space="preserve">   pursuant to initial public offering, </w:t>
              <w:br/>
              <w:t xml:space="preserve">   net of underwriter’s discount and </w:t>
              <w:br/>
              <w:t>   issuance costs of $29.6</w:t>
            </w:r>
            <w:r>
              <w:rPr>
                <w:rFonts w:ascii="Times New Roman" w:hAnsi="Times New Roman"/>
                <w:color w:val="000000"/>
                <w:sz w:val="20"/>
              </w:rPr>
              <w:t> </w:t>
            </w:r>
            <w:r>
              <w:rPr>
                <w:rFonts w:ascii="Arial" w:hAnsi="Arial"/>
                <w:color w:val="000000"/>
                <w:sz w:val="12"/>
              </w:rPr>
              <w:t>million</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19,262,500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317,163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317,165</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Conversion of convertible </w:t>
              <w:br/>
              <w:t xml:space="preserve">   preferred stock into common </w:t>
              <w:br/>
              <w:t>   stock upon initial public offering</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(23,343)</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(225,866)</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(63,536)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(442,205)</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(134,975)</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(512,991)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(156,421)</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26,496,910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360,165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360,168</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Equity-based</w:t>
              <w:br/>
              <w:t>   compensation</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2,015</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w:t>
              <w:br/>
              <w:t>   income</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(2,309)</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(24,150)</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at June 30, 2026</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46,705,410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$685,709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$(228,695)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$454,271</w:t>
            </w:r>
          </w:p>
        </w:tc>
      </w:tr>
    </w:tbl>
    <w:p>
      <w:pPr>
        <w:pStyle w:val="TextBody"/>
        <w:bidi w:val="0"/>
        <w:jc w:val="left"/>
        <w:rPr/>
      </w:pPr>
      <w:r>
        <w:rPr/>
        <w:t> </w:t>
      </w:r>
    </w:p>
    <w:p>
      <w:pPr>
        <w:pStyle w:val="TextBody"/>
        <w:bidi w:val="0"/>
        <w:jc w:val="center"/>
        <w:rPr>
          <w:rFonts w:ascii="Arial" w:hAnsi="Arial"/>
          <w:i/>
          <w:color w:val="000000"/>
          <w:sz w:val="19"/>
        </w:rPr>
      </w:pPr>
      <w:r>
        <w:rPr>
          <w:rFonts w:ascii="Arial" w:hAnsi="Arial"/>
          <w:i/>
          <w:color w:val="000000"/>
          <w:sz w:val="19"/>
        </w:rPr>
        <w:t>See accompanying notes to the financial statements</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HEMAB THERAPEUTICS HOLDINGS, INC.</w:t>
      </w:r>
    </w:p>
    <w:p>
      <w:pPr>
        <w:pStyle w:val="TextBody"/>
        <w:bidi w:val="0"/>
        <w:jc w:val="center"/>
        <w:rPr>
          <w:rFonts w:ascii="Arial" w:hAnsi="Arial"/>
          <w:b/>
          <w:color w:val="000000"/>
          <w:sz w:val="20"/>
        </w:rPr>
      </w:pPr>
      <w:bookmarkStart w:id="9" w:name="condensed_consolidated_stmt_cash_flows"/>
      <w:bookmarkEnd w:id="9"/>
      <w:r>
        <w:rPr>
          <w:rFonts w:ascii="Arial" w:hAnsi="Arial"/>
          <w:b/>
          <w:color w:val="000000"/>
          <w:sz w:val="20"/>
        </w:rPr>
        <w:t>Condensed Consolidated Statements of Cash Flows</w:t>
      </w:r>
    </w:p>
    <w:p>
      <w:pPr>
        <w:pStyle w:val="TextBody"/>
        <w:bidi w:val="0"/>
        <w:jc w:val="center"/>
        <w:rPr>
          <w:rFonts w:ascii="Arial" w:hAnsi="Arial"/>
          <w:color w:val="000000"/>
          <w:sz w:val="20"/>
        </w:rPr>
      </w:pPr>
      <w:r>
        <w:rPr>
          <w:rFonts w:ascii="Arial" w:hAnsi="Arial"/>
          <w:color w:val="000000"/>
          <w:sz w:val="20"/>
        </w:rPr>
        <w:t>(in thousands)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7"/>
        <w:gridCol w:w="146"/>
        <w:gridCol w:w="211"/>
        <w:gridCol w:w="856"/>
        <w:gridCol w:w="166"/>
        <w:gridCol w:w="146"/>
        <w:gridCol w:w="211"/>
        <w:gridCol w:w="751"/>
        <w:gridCol w:w="491"/>
      </w:tblGrid>
      <w:tr>
        <w:trPr/>
        <w:tc>
          <w:tcPr>
            <w:tcW w:w="7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used in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Accretion of discount on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(28,366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Maturities of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15,508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Proceeds from issuance of common stock, net of issuance costs of $29.6</w:t>
            </w:r>
            <w:r>
              <w:rPr>
                <w:rFonts w:ascii="Times New Roman" w:hAnsi="Times New Roman"/>
                <w:color w:val="000000"/>
                <w:sz w:val="20"/>
              </w:rPr>
              <w:t> </w:t>
            </w:r>
            <w:r>
              <w:rPr>
                <w:rFonts w:ascii="Arial" w:hAnsi="Arial"/>
                <w:color w:val="000000"/>
                <w:sz w:val="20"/>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Principal payments on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(12,917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74,407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61,490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cash flow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See accompanying notes to the financial statements.</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HEMAB THERAPEUTICS HOLDINGS, INC.</w:t>
      </w:r>
    </w:p>
    <w:p>
      <w:pPr>
        <w:pStyle w:val="TextBody"/>
        <w:bidi w:val="0"/>
        <w:jc w:val="center"/>
        <w:rPr>
          <w:rFonts w:ascii="Arial" w:hAnsi="Arial"/>
          <w:b/>
          <w:color w:val="000000"/>
          <w:sz w:val="20"/>
        </w:rPr>
      </w:pPr>
      <w:bookmarkStart w:id="10" w:name="notes_to_unaudited_condensed_consolidate"/>
      <w:bookmarkEnd w:id="10"/>
      <w:r>
        <w:rPr>
          <w:rFonts w:ascii="Arial" w:hAnsi="Arial"/>
          <w:b/>
          <w:color w:val="000000"/>
          <w:sz w:val="20"/>
        </w:rPr>
        <w:t>Notes to Condensed Consolidated Financial Statements</w:t>
      </w:r>
    </w:p>
    <w:p>
      <w:pPr>
        <w:pStyle w:val="TextBody"/>
        <w:bidi w:val="0"/>
        <w:jc w:val="center"/>
        <w:rPr>
          <w:rFonts w:ascii="Arial" w:hAnsi="Arial"/>
          <w:color w:val="000000"/>
          <w:sz w:val="20"/>
        </w:rPr>
      </w:pPr>
      <w:r>
        <w:rPr>
          <w:rFonts w:ascii="Arial" w:hAnsi="Arial"/>
          <w:color w:val="000000"/>
          <w:sz w:val="20"/>
        </w:rPr>
        <w:t>(unaudited)</w:t>
      </w:r>
    </w:p>
    <w:p>
      <w:pPr>
        <w:pStyle w:val="TextBody"/>
        <w:bidi w:val="0"/>
        <w:spacing w:before="240" w:after="283"/>
        <w:jc w:val="left"/>
        <w:rPr>
          <w:rFonts w:ascii="Arial" w:hAnsi="Arial"/>
          <w:b/>
          <w:color w:val="000000"/>
          <w:sz w:val="20"/>
        </w:rPr>
      </w:pPr>
      <w:r>
        <w:rPr>
          <w:rFonts w:ascii="Arial" w:hAnsi="Arial"/>
          <w:b/>
          <w:color w:val="000000"/>
          <w:sz w:val="20"/>
        </w:rPr>
        <w:t>1. Description of Business and Liquidity</w:t>
      </w:r>
    </w:p>
    <w:p>
      <w:pPr>
        <w:pStyle w:val="TextBody"/>
        <w:bidi w:val="0"/>
        <w:spacing w:before="120" w:after="283"/>
        <w:jc w:val="left"/>
        <w:rPr>
          <w:rFonts w:ascii="Arial" w:hAnsi="Arial"/>
          <w:b/>
          <w:i/>
          <w:color w:val="000000"/>
          <w:sz w:val="20"/>
        </w:rPr>
      </w:pPr>
      <w:r>
        <w:rPr>
          <w:rFonts w:ascii="Arial" w:hAnsi="Arial"/>
          <w:b/>
          <w:i/>
          <w:color w:val="000000"/>
          <w:sz w:val="20"/>
        </w:rPr>
        <w:t>Nature of Business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Hemab Therapeutics Holdings, Inc. (the “Company”) is a clinical-stage biotechnology company developing therapies that reimagine the treatment of blood coagulation disorders to sustain life and human resilience. Based in Denmark and the United States, the Company’s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heavy menstrual bleeding and other conditions of abnormal bleeding, all of which can cause significant life-long burden to patients.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 Company’s lead asset, sutacimig (HMB-001), is a bispecific antibody currently in Phase 1/2 clinical development for the prophylactic treatment of Glanzmann thrombasthenia and Phase 2 clinical development for the prophylactic treatment of Factor VII deficiency. The Company’s second clinical-stage asset, HMB-002, is a monovalent antibody in clinical development for subcutaneous prophylactic treatment of Von Willebrand Disease. The Company is also developing HMB-003, an anti-fibrinolytic targeting plasmin inhibition in preclinical development designed to reduce bleeding across multiple high-unmet-need conditions, beginning with heavy menstrual bleeding. The Company is also advancing multiple preclinical and discovery-stage assets.</w:t>
      </w:r>
    </w:p>
    <w:p>
      <w:pPr>
        <w:pStyle w:val="TextBody"/>
        <w:bidi w:val="0"/>
        <w:spacing w:before="360" w:after="120"/>
        <w:jc w:val="left"/>
        <w:rPr>
          <w:rFonts w:ascii="Times New Roman" w:hAnsi="Times New Roman"/>
          <w:sz w:val="20"/>
        </w:rPr>
      </w:pPr>
      <w:r>
        <w:rPr>
          <w:rFonts w:ascii="Arial" w:hAnsi="Arial"/>
          <w:b/>
          <w:i/>
          <w:color w:val="000000"/>
          <w:sz w:val="20"/>
        </w:rPr>
        <w:t>Corporate Reorganization</w:t>
      </w:r>
      <w:r>
        <w:rPr>
          <w:rFonts w:ascii="Times New Roman" w:hAnsi="Times New Roman"/>
          <w:color w:val="000000"/>
          <w:sz w:val="20"/>
        </w:rPr>
        <w:t xml:space="preserve"> </w:t>
      </w:r>
    </w:p>
    <w:p>
      <w:pPr>
        <w:pStyle w:val="TextBody"/>
        <w:bidi w:val="0"/>
        <w:spacing w:before="0" w:after="120"/>
        <w:ind w:left="0" w:right="0" w:firstLine="720"/>
        <w:jc w:val="left"/>
        <w:rPr>
          <w:rFonts w:ascii="Times New Roman" w:hAnsi="Times New Roman"/>
          <w:sz w:val="20"/>
        </w:rPr>
      </w:pPr>
      <w:r>
        <w:rPr>
          <w:rFonts w:ascii="Arial" w:hAnsi="Arial"/>
          <w:color w:val="000000"/>
          <w:sz w:val="20"/>
        </w:rPr>
        <w:t>On March 30, 2026, the Company completed a corporate reorganization pursuant to which the shareholders of Hemab ApS exchanged their shares in Hemab ApS for the same number, class and series of newly issued shares, on a one to one basis, in the newly incorporated Delaware company, Hemab Therapeutics Holdings, Inc. and, as a result, Hemab ApS became a wholly owned subsidiary of Hemab Therapeutics Holdings, Inc. The newly issued shares of Hemab Therapeutics Holdings, Inc. had substantially identical rights to the exchanged shares of Hemab ApS. As a result of the exchange, Hemab Therapeutics Holdings, Inc. became the sole shareholder of Hemab ApS, and the prior shareholders of Hemab ApS solely held shares of Hemab Therapeutics Holdings, Inc. Hemab Therapeutics Holdings, Inc. had nominal assets and liabilities and did not conduct any operations prior to the corporate reorganization other than its incorporation. Upon completion of the corporate reorganization, the historical consolidated financial statements of Hemab ApS became the historical consolidated financial statements of Hemab Therapeutics Holdings, Inc.</w:t>
      </w:r>
      <w:r>
        <w:rPr>
          <w:rFonts w:ascii="Times New Roman" w:hAnsi="Times New Roman"/>
          <w:color w:val="000000"/>
          <w:sz w:val="20"/>
        </w:rPr>
        <w:t xml:space="preserve"> </w:t>
      </w:r>
    </w:p>
    <w:p>
      <w:pPr>
        <w:pStyle w:val="TextBody"/>
        <w:bidi w:val="0"/>
        <w:spacing w:before="0" w:after="120"/>
        <w:ind w:left="0" w:right="0" w:firstLine="720"/>
        <w:jc w:val="left"/>
        <w:rPr>
          <w:rFonts w:ascii="Times New Roman" w:hAnsi="Times New Roman"/>
          <w:sz w:val="20"/>
        </w:rPr>
      </w:pPr>
      <w:r>
        <w:rPr>
          <w:rFonts w:ascii="Arial" w:hAnsi="Arial"/>
          <w:color w:val="000000"/>
          <w:sz w:val="20"/>
        </w:rPr>
        <w:t>In connection with the corporate reorganization, the original issue price for the Company’s Series Seed Convertible Stock and Series A Convertible Stock were converted from Euros and Danish Kroners (“DKK”), respectively, into U.S. dollars. The original issue price was set for each series of convertible preferred stock so the convertible preferred stock would be convertible into common stock on a one-for-one basis.</w:t>
      </w:r>
      <w:r>
        <w:rPr>
          <w:rFonts w:ascii="Times New Roman" w:hAnsi="Times New Roman"/>
          <w:color w:val="000000"/>
          <w:sz w:val="20"/>
        </w:rPr>
        <w:t xml:space="preserve"> </w:t>
      </w:r>
    </w:p>
    <w:p>
      <w:pPr>
        <w:pStyle w:val="TextBody"/>
        <w:bidi w:val="0"/>
        <w:spacing w:before="0" w:after="120"/>
        <w:ind w:left="0" w:right="0" w:firstLine="720"/>
        <w:jc w:val="left"/>
        <w:rPr>
          <w:rFonts w:ascii="Times New Roman" w:hAnsi="Times New Roman"/>
          <w:sz w:val="20"/>
        </w:rPr>
      </w:pPr>
      <w:r>
        <w:rPr>
          <w:rFonts w:ascii="Arial" w:hAnsi="Arial"/>
          <w:color w:val="000000"/>
          <w:sz w:val="20"/>
        </w:rPr>
        <w:t>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Each new warrant otherwise had and was subject to the same terms and conditions as were in effect immediately prior to the assumption and conversion, except that any warrant exercise price that had been denominated in DKK prior to the corporate reorganization was converted into an exercise price in U.S. dollars at the exchange rate as in effect at the close of business on the business day prior to the corporate reorganization. No warrants of Hemab ApS were outstanding following such assumption and conversion.</w:t>
      </w:r>
      <w:r>
        <w:rPr>
          <w:rFonts w:ascii="Times New Roman" w:hAnsi="Times New Roman"/>
          <w:color w:val="000000"/>
          <w:sz w:val="20"/>
        </w:rPr>
        <w:t xml:space="preserve"> </w:t>
      </w:r>
    </w:p>
    <w:p>
      <w:pPr>
        <w:pStyle w:val="TextBody"/>
        <w:bidi w:val="0"/>
        <w:spacing w:before="0" w:after="120"/>
        <w:ind w:left="0" w:right="0" w:firstLine="720"/>
        <w:jc w:val="left"/>
        <w:rPr>
          <w:rFonts w:ascii="Times New Roman" w:hAnsi="Times New Roman"/>
          <w:sz w:val="20"/>
        </w:rPr>
      </w:pPr>
      <w:r>
        <w:rPr>
          <w:rFonts w:ascii="Arial" w:hAnsi="Arial"/>
          <w:color w:val="000000"/>
          <w:sz w:val="20"/>
        </w:rPr>
        <w:t>Additionally, on April 1, 2026, Hemab ApS transferred its shares of Hemab Therapeutics Inc., a Delaware corporation and wholly owned subsidiary of Hemab ApS, to Hemab Therapeutics Holdings, Inc. in exchange for the issuance of a promissory note and, as a result, Hemab Therapeutics Inc. became a wholly owned subsidiary of Hemab Therapeutics Holdings, Inc.</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Stock Split</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Company’s board of directors and stockholders approved a 22-for-one forward stock split</w:t>
      </w:r>
      <w:r>
        <w:rPr>
          <w:rFonts w:ascii="Times New Roman" w:hAnsi="Times New Roman"/>
          <w:color w:val="000000"/>
          <w:sz w:val="20"/>
        </w:rPr>
        <w:t xml:space="preserve"> </w:t>
      </w:r>
      <w:r>
        <w:rPr>
          <w:rFonts w:ascii="Arial" w:hAnsi="Arial"/>
          <w:color w:val="000000"/>
          <w:sz w:val="20"/>
        </w:rPr>
        <w:t>of the Company’s issued and outstanding common stock and a proportional adjustment to the existing conversion ratios for the outstanding shares of convertible preferred stock, which became effective on April 24, 2026. Accordingly, all share and per share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amounts for all periods presented in the accompanying condensed consolidated financial statements and the notes thereto have been retroactively adjusted, where applicable, to reflect the stock split.</w:t>
      </w:r>
    </w:p>
    <w:p>
      <w:pPr>
        <w:pStyle w:val="TextBody"/>
        <w:bidi w:val="0"/>
        <w:spacing w:before="360" w:after="283"/>
        <w:jc w:val="left"/>
        <w:rPr>
          <w:rFonts w:ascii="Arial" w:hAnsi="Arial"/>
          <w:b/>
          <w:i/>
          <w:color w:val="000000"/>
          <w:sz w:val="20"/>
        </w:rPr>
      </w:pPr>
      <w:r>
        <w:rPr>
          <w:rFonts w:ascii="Arial" w:hAnsi="Arial"/>
          <w:b/>
          <w:i/>
          <w:color w:val="000000"/>
          <w:sz w:val="20"/>
        </w:rPr>
        <w:t>Initial Public Offering</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On May 4, 2026, the Company completed the initial public offering (the “IPO”) of 19,262,500</w:t>
      </w:r>
      <w:r>
        <w:rPr>
          <w:rFonts w:ascii="Times New Roman" w:hAnsi="Times New Roman"/>
          <w:color w:val="000000"/>
          <w:sz w:val="20"/>
        </w:rPr>
        <w:t xml:space="preserve"> </w:t>
      </w:r>
      <w:r>
        <w:rPr>
          <w:rFonts w:ascii="Arial" w:hAnsi="Arial"/>
          <w:color w:val="000000"/>
          <w:sz w:val="20"/>
        </w:rPr>
        <w:t>shares of its common stock, which included the exercise in full by the underwriters of their option to purchase 2,512,500</w:t>
      </w:r>
      <w:r>
        <w:rPr>
          <w:rFonts w:ascii="Times New Roman" w:hAnsi="Times New Roman"/>
          <w:color w:val="000000"/>
          <w:sz w:val="20"/>
        </w:rPr>
        <w:t xml:space="preserve"> </w:t>
      </w:r>
      <w:r>
        <w:rPr>
          <w:rFonts w:ascii="Arial" w:hAnsi="Arial"/>
          <w:color w:val="000000"/>
          <w:sz w:val="20"/>
        </w:rPr>
        <w:t>additional shares of common stock, at a public offering price of $18.00</w:t>
      </w:r>
      <w:r>
        <w:rPr>
          <w:rFonts w:ascii="Times New Roman" w:hAnsi="Times New Roman"/>
          <w:color w:val="000000"/>
          <w:sz w:val="20"/>
        </w:rPr>
        <w:t xml:space="preserve"> </w:t>
      </w:r>
      <w:r>
        <w:rPr>
          <w:rFonts w:ascii="Arial" w:hAnsi="Arial"/>
          <w:color w:val="000000"/>
          <w:sz w:val="20"/>
        </w:rPr>
        <w:t>per share. The net proceeds to the Company from the IPO were approximately $317.2</w:t>
      </w:r>
      <w:r>
        <w:rPr>
          <w:rFonts w:ascii="Times New Roman" w:hAnsi="Times New Roman"/>
          <w:color w:val="000000"/>
          <w:sz w:val="20"/>
        </w:rPr>
        <w:t xml:space="preserve"> </w:t>
      </w:r>
      <w:r>
        <w:rPr>
          <w:rFonts w:ascii="Arial" w:hAnsi="Arial"/>
          <w:color w:val="000000"/>
          <w:sz w:val="20"/>
        </w:rPr>
        <w:t>million after deducting underwriting discounts and commissions and offering expenses of $29.6</w:t>
      </w:r>
      <w:r>
        <w:rPr>
          <w:rFonts w:ascii="Times New Roman" w:hAnsi="Times New Roman"/>
          <w:color w:val="000000"/>
          <w:sz w:val="20"/>
        </w:rPr>
        <w:t xml:space="preserve"> </w:t>
      </w:r>
      <w:r>
        <w:rPr>
          <w:rFonts w:ascii="Arial" w:hAnsi="Arial"/>
          <w:color w:val="000000"/>
          <w:sz w:val="20"/>
        </w:rPr>
        <w:t>million payable by the Company. In connection with the completion of the IPO, all shares of the Company's preferred stock were converted into 26,496,910</w:t>
      </w:r>
      <w:r>
        <w:rPr>
          <w:rFonts w:ascii="Times New Roman" w:hAnsi="Times New Roman"/>
          <w:color w:val="000000"/>
          <w:sz w:val="20"/>
        </w:rPr>
        <w:t xml:space="preserve"> </w:t>
      </w:r>
      <w:r>
        <w:rPr>
          <w:rFonts w:ascii="Arial" w:hAnsi="Arial"/>
          <w:color w:val="000000"/>
          <w:sz w:val="20"/>
        </w:rPr>
        <w:t>shares of common stock, and no shares of preferred stock were thereafter outstanding.</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connection with the closing of the IPO, on May 4, 2026, the Company filed a restated certificate of incorporation with the Secretary of State of the State of Delaware, which authorizes 400,000,000</w:t>
      </w:r>
      <w:r>
        <w:rPr>
          <w:rFonts w:ascii="Times New Roman" w:hAnsi="Times New Roman"/>
          <w:color w:val="000000"/>
          <w:sz w:val="20"/>
        </w:rPr>
        <w:t xml:space="preserve"> </w:t>
      </w:r>
      <w:r>
        <w:rPr>
          <w:rFonts w:ascii="Arial" w:hAnsi="Arial"/>
          <w:color w:val="000000"/>
          <w:sz w:val="20"/>
        </w:rPr>
        <w:t>shares of common stock, par value $0.0001</w:t>
      </w:r>
      <w:r>
        <w:rPr>
          <w:rFonts w:ascii="Times New Roman" w:hAnsi="Times New Roman"/>
          <w:color w:val="000000"/>
          <w:sz w:val="20"/>
        </w:rPr>
        <w:t xml:space="preserve"> </w:t>
      </w:r>
      <w:r>
        <w:rPr>
          <w:rFonts w:ascii="Arial" w:hAnsi="Arial"/>
          <w:color w:val="000000"/>
          <w:sz w:val="20"/>
        </w:rPr>
        <w:t>per share, and 5,000,000</w:t>
      </w:r>
      <w:r>
        <w:rPr>
          <w:rFonts w:ascii="Times New Roman" w:hAnsi="Times New Roman"/>
          <w:color w:val="000000"/>
          <w:sz w:val="20"/>
        </w:rPr>
        <w:t xml:space="preserve"> </w:t>
      </w:r>
      <w:r>
        <w:rPr>
          <w:rFonts w:ascii="Arial" w:hAnsi="Arial"/>
          <w:color w:val="000000"/>
          <w:sz w:val="20"/>
        </w:rPr>
        <w:t>shares of undesignated preferred stock, par value $0.0001</w:t>
      </w:r>
      <w:r>
        <w:rPr>
          <w:rFonts w:ascii="Times New Roman" w:hAnsi="Times New Roman"/>
          <w:color w:val="000000"/>
          <w:sz w:val="20"/>
        </w:rPr>
        <w:t xml:space="preserve"> </w:t>
      </w:r>
      <w:r>
        <w:rPr>
          <w:rFonts w:ascii="Arial" w:hAnsi="Arial"/>
          <w:color w:val="000000"/>
          <w:sz w:val="20"/>
        </w:rPr>
        <w:t>per share.</w:t>
      </w:r>
    </w:p>
    <w:p>
      <w:pPr>
        <w:pStyle w:val="TextBody"/>
        <w:bidi w:val="0"/>
        <w:spacing w:before="360" w:after="283"/>
        <w:jc w:val="left"/>
        <w:rPr>
          <w:rFonts w:ascii="Arial" w:hAnsi="Arial"/>
          <w:b/>
          <w:i/>
          <w:color w:val="000000"/>
          <w:sz w:val="20"/>
        </w:rPr>
      </w:pPr>
      <w:r>
        <w:rPr>
          <w:rFonts w:ascii="Arial" w:hAnsi="Arial"/>
          <w:b/>
          <w:i/>
          <w:color w:val="000000"/>
          <w:sz w:val="20"/>
        </w:rPr>
        <w:t>Risks and Uncertainties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 Company’s product candidates and programs are in preclinical and clinical development. There can be no assurance that the Company’s research and development efforts will be successfully completed, that adequate protection for its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pStyle w:val="TextBody"/>
        <w:bidi w:val="0"/>
        <w:spacing w:before="360" w:after="283"/>
        <w:jc w:val="left"/>
        <w:rPr>
          <w:rFonts w:ascii="Arial" w:hAnsi="Arial"/>
          <w:b/>
          <w:i/>
          <w:color w:val="000000"/>
          <w:sz w:val="20"/>
        </w:rPr>
      </w:pPr>
      <w:r>
        <w:rPr>
          <w:rFonts w:ascii="Arial" w:hAnsi="Arial"/>
          <w:b/>
          <w:i/>
          <w:color w:val="000000"/>
          <w:sz w:val="20"/>
        </w:rPr>
        <w:t>Liquidity and Management's Plan</w:t>
      </w:r>
    </w:p>
    <w:p>
      <w:pPr>
        <w:pStyle w:val="TextBody"/>
        <w:bidi w:val="0"/>
        <w:spacing w:before="120" w:after="283"/>
        <w:ind w:left="0" w:right="0" w:firstLine="720"/>
        <w:jc w:val="left"/>
        <w:rPr>
          <w:rFonts w:ascii="Arial" w:hAnsi="Arial"/>
          <w:color w:val="000000"/>
          <w:sz w:val="20"/>
        </w:rPr>
      </w:pPr>
      <w:r>
        <w:rPr>
          <w:rFonts w:ascii="Arial" w:hAnsi="Arial"/>
          <w:color w:val="000000"/>
          <w:sz w:val="20"/>
        </w:rPr>
        <w:t>Since inception, the Company has devoted substantially all its efforts to business planning, conducting research and development, recruiting management and technical staff, and raising capital. The Company has financed its operations primarily through private placements of convertible preference shares and issuance of convertible debt and, most recently, from the sale of common stock in its IPO in May 2026.</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 Company’s continued discovery and development of product candidates will require significant additional research and development efforts, including extensive preclinical and clinical testing and regulatory approval prior to commercialization. These efforts require significant amounts of additional capital, adequate personnel, infrastructure, and compliance-reporting capabilities. Even if the Company’s product development efforts are successful, it is uncertain when, if ever, the Company will generate significant revenue from product sales.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Company has incurred losses since inception and had an accumulated deficit of $228.7</w:t>
      </w:r>
      <w:r>
        <w:rPr>
          <w:rFonts w:ascii="Times New Roman" w:hAnsi="Times New Roman"/>
          <w:color w:val="000000"/>
          <w:sz w:val="20"/>
        </w:rPr>
        <w:t xml:space="preserve"> </w:t>
      </w:r>
      <w:r>
        <w:rPr>
          <w:rFonts w:ascii="Arial" w:hAnsi="Arial"/>
          <w:color w:val="000000"/>
          <w:sz w:val="20"/>
        </w:rPr>
        <w:t>million as of June 30, 2026. The Company expects that its operating losses and negative cash flows will continue for the foreseeable future as it continues development of its product candidates.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As of June 30, 2026, the Company had cash and cash equivalents, and marketable securities of $457.5</w:t>
      </w:r>
      <w:r>
        <w:rPr>
          <w:rFonts w:ascii="Times New Roman" w:hAnsi="Times New Roman"/>
          <w:color w:val="000000"/>
          <w:sz w:val="20"/>
        </w:rPr>
        <w:t xml:space="preserve"> </w:t>
      </w:r>
      <w:r>
        <w:rPr>
          <w:rFonts w:ascii="Arial" w:hAnsi="Arial"/>
          <w:color w:val="000000"/>
          <w:sz w:val="20"/>
        </w:rPr>
        <w:t>million. The Company believes that its existing cash, cash equivalents, and marketable securities will enable it to fund its operating expenses and capital expenditure requirements for at least one year from the date of the issuance of these unaudited condensed consolidated financial statements.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Until such a time when the Company can generate significant revenue from product sales, if ever, the Company expects to finance its operations through a combination of equity offerings, debt financings, collaborations, strategic alliances, and marketing, distribution or licensing arrangements. The Company may be unable to raise additional funds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enter into such other agreements or arrangements when needed, on favorable terms, or at all. The Company’s failure to raise capital or enter into such agreements or arrangements as, and when needed, could have a material adverse effect on its business, results of operations and financial condition, including potentially requiring it to delay, limit, reduce or eliminate product development or future commercialization efforts, or grant rights to develop and market current or future development product candidates that the Company would otherwise prefer to develop and market itself.</w:t>
      </w:r>
    </w:p>
    <w:p>
      <w:pPr>
        <w:pStyle w:val="TextBody"/>
        <w:bidi w:val="0"/>
        <w:spacing w:before="360" w:after="283"/>
        <w:jc w:val="left"/>
        <w:rPr>
          <w:rFonts w:ascii="Arial" w:hAnsi="Arial"/>
          <w:b/>
          <w:color w:val="000000"/>
          <w:sz w:val="20"/>
        </w:rPr>
      </w:pPr>
      <w:r>
        <w:rPr>
          <w:rFonts w:ascii="Arial" w:hAnsi="Arial"/>
          <w:b/>
          <w:color w:val="000000"/>
          <w:sz w:val="20"/>
        </w:rPr>
        <w:t>2. Summary of Significant Accounting Policies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final prospectus filed pursuant to Rule 424(b)(4) under the Securities Act of 1933, as amended, with the U.S. Securities Exchange Commission on May 1, 2026, except as noted below.</w:t>
      </w:r>
    </w:p>
    <w:p>
      <w:pPr>
        <w:pStyle w:val="TextBody"/>
        <w:bidi w:val="0"/>
        <w:spacing w:before="360" w:after="283"/>
        <w:jc w:val="left"/>
        <w:rPr>
          <w:rFonts w:ascii="Arial" w:hAnsi="Arial"/>
          <w:b/>
          <w:i/>
          <w:color w:val="000000"/>
          <w:sz w:val="20"/>
        </w:rPr>
      </w:pPr>
      <w:r>
        <w:rPr>
          <w:rFonts w:ascii="Arial" w:hAnsi="Arial"/>
          <w:b/>
          <w:i/>
          <w:color w:val="000000"/>
          <w:sz w:val="20"/>
        </w:rPr>
        <w:t>Principles of Consolidation</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 xml:space="preserve">The Company’s condensed consolidated financial statements include the accounts of it and its wholly owned subsidiaries, Hemab ApS and Hemab Therapeutics, Inc. The Company completed its corporate reorganization to Delaware on March 30, 2026 and Hemab ApS became a wholly owned subsidiary of Hemab Therapeutics Holdings, Inc. on April 1, 2026. Accordingly, the Company’s consolidated financial statements are those of Hemab Therapeutics Holdings, Inc. for the periods after the corporate reorganization and are those of Hemab ApS for historical periods before the corporate reorganization. Management has concluded the Company has a single reporting segment for purposes of reporting financial condition and results of operations. All intercompany transactions and balances have been eliminated in accordance with ASC 810, </w:t>
      </w:r>
      <w:r>
        <w:rPr>
          <w:rFonts w:ascii="Arial" w:hAnsi="Arial"/>
          <w:i/>
          <w:color w:val="000000"/>
          <w:sz w:val="20"/>
        </w:rPr>
        <w:t>Consolidation</w:t>
      </w:r>
      <w:r>
        <w:rPr>
          <w:rFonts w:ascii="Arial" w:hAnsi="Arial"/>
          <w:color w:val="000000"/>
          <w:sz w:val="20"/>
        </w:rPr>
        <w:t>.</w:t>
      </w:r>
    </w:p>
    <w:p>
      <w:pPr>
        <w:pStyle w:val="TextBody"/>
        <w:bidi w:val="0"/>
        <w:spacing w:before="360" w:after="283"/>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The accompanying unaudited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Updates (“ASU”) of the Financial Accounting Standards Board (“FASB”).</w:t>
      </w:r>
    </w:p>
    <w:p>
      <w:pPr>
        <w:pStyle w:val="TextBody"/>
        <w:bidi w:val="0"/>
        <w:spacing w:before="360" w:after="283"/>
        <w:jc w:val="left"/>
        <w:rPr>
          <w:rFonts w:ascii="Times New Roman" w:hAnsi="Times New Roman"/>
          <w:sz w:val="20"/>
        </w:rPr>
      </w:pPr>
      <w:r>
        <w:rPr>
          <w:rFonts w:ascii="Arial" w:hAnsi="Arial"/>
          <w:b/>
          <w:i/>
          <w:color w:val="000000"/>
          <w:sz w:val="20"/>
        </w:rPr>
        <w:t>Unaudited Interim Consolidated Financial Information</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accompanying unaudited condensed consolidated financial statements have been prepared on the same basis as the annual consolidated financial statements of Hemab ApS and reflect, in the opinion of management, all adjustments of a normal and recurring nature that are necessary for the fair statement of the Company’s financial position as of June 30, 2026 and its results of operations and cash flows for the six months ended June 30, 2026 and 2025. The results of operations for the six months ended June 30, 2026 are not necessarily indicative of the results to be expected for the year ending December 31, 2026, or for any other future annual or interim period. The condensed consolidated balance sheet as of December 31, 2025</w:t>
      </w:r>
      <w:r>
        <w:rPr>
          <w:rFonts w:ascii="Times New Roman" w:hAnsi="Times New Roman"/>
          <w:color w:val="000000"/>
          <w:sz w:val="20"/>
        </w:rPr>
        <w:t xml:space="preserve"> </w:t>
      </w:r>
      <w:r>
        <w:rPr>
          <w:rFonts w:ascii="Arial" w:hAnsi="Arial"/>
          <w:color w:val="000000"/>
          <w:sz w:val="20"/>
        </w:rPr>
        <w:t>included herein was derived from the audited financial statements of Hemab ApS as of that date. Certain information and footnote disclosures normally included in consolidated financial statements prepared in accordance with GAAP have been condensed or omitted from these unaudited condensed consolidated financial statements.</w:t>
      </w:r>
    </w:p>
    <w:p>
      <w:pPr>
        <w:pStyle w:val="TextBody"/>
        <w:bidi w:val="0"/>
        <w:spacing w:before="360" w:after="283"/>
        <w:jc w:val="left"/>
        <w:rPr>
          <w:rFonts w:ascii="Arial" w:hAnsi="Arial"/>
          <w:b/>
          <w:i/>
          <w:color w:val="000000"/>
          <w:sz w:val="20"/>
        </w:rPr>
      </w:pPr>
      <w:r>
        <w:rPr>
          <w:rFonts w:ascii="Arial" w:hAnsi="Arial"/>
          <w:b/>
          <w:i/>
          <w:color w:val="000000"/>
          <w:sz w:val="20"/>
        </w:rPr>
        <w:t>Foreign Currency</w:t>
      </w:r>
    </w:p>
    <w:p>
      <w:pPr>
        <w:pStyle w:val="TextBody"/>
        <w:bidi w:val="0"/>
        <w:spacing w:before="120" w:after="283"/>
        <w:ind w:left="0" w:right="0" w:firstLine="720"/>
        <w:jc w:val="left"/>
        <w:rPr>
          <w:rFonts w:ascii="Arial" w:hAnsi="Arial"/>
          <w:color w:val="000000"/>
          <w:sz w:val="20"/>
        </w:rPr>
      </w:pPr>
      <w:r>
        <w:rPr>
          <w:rFonts w:ascii="Arial" w:hAnsi="Arial"/>
          <w:color w:val="000000"/>
          <w:sz w:val="20"/>
        </w:rPr>
        <w:t>The financial statements are presented in U.S. dollars, the Company’s reporting currency. The functional currency of Hemab ApS and Hemab Therapeutics, Inc. is the U.S. dollar. Transaction gains and losses resulting from exchange rate changes on transactions denominated in currencies other than the U.S. dollar are recognized in other (expense) income, net in the consolidated statements of operations and comprehensive loss.</w:t>
      </w:r>
    </w:p>
    <w:p>
      <w:pPr>
        <w:pStyle w:val="TextBody"/>
        <w:bidi w:val="0"/>
        <w:spacing w:before="360" w:after="283"/>
        <w:jc w:val="left"/>
        <w:rPr>
          <w:rFonts w:ascii="Arial" w:hAnsi="Arial"/>
          <w:b/>
          <w:i/>
          <w:color w:val="000000"/>
          <w:sz w:val="20"/>
        </w:rPr>
      </w:pPr>
      <w:r>
        <w:rPr>
          <w:rFonts w:ascii="Arial" w:hAnsi="Arial"/>
          <w:b/>
          <w:i/>
          <w:color w:val="000000"/>
          <w:sz w:val="20"/>
        </w:rPr>
        <w:t>Use of Estimates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preparation of financial statements in conformity with U.S. GAAP requires management to make estimates and assumptions that affect the amounts reported in the condensed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accrued research and development expenses,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fair value of the common stock, options, and warrants for equity-based compensation expense, and the valuation of the Company’s deferred tax assets. Changes in estimates are recorded in the period in which they become known.</w:t>
      </w:r>
    </w:p>
    <w:p>
      <w:pPr>
        <w:pStyle w:val="TextBody"/>
        <w:bidi w:val="0"/>
        <w:spacing w:before="360" w:after="283"/>
        <w:jc w:val="left"/>
        <w:rPr>
          <w:rFonts w:ascii="Arial" w:hAnsi="Arial"/>
          <w:b/>
          <w:i/>
          <w:color w:val="000000"/>
          <w:sz w:val="20"/>
        </w:rPr>
      </w:pPr>
      <w:r>
        <w:rPr>
          <w:rFonts w:ascii="Arial" w:hAnsi="Arial"/>
          <w:b/>
          <w:i/>
          <w:color w:val="000000"/>
          <w:sz w:val="20"/>
        </w:rPr>
        <w:t>Concentrations of Credit Risk</w:t>
      </w:r>
    </w:p>
    <w:p>
      <w:pPr>
        <w:pStyle w:val="TextBody"/>
        <w:bidi w:val="0"/>
        <w:spacing w:before="120" w:after="283"/>
        <w:ind w:left="0" w:right="0" w:firstLine="720"/>
        <w:jc w:val="left"/>
        <w:rPr>
          <w:rFonts w:ascii="Arial" w:hAnsi="Arial"/>
          <w:color w:val="000000"/>
          <w:sz w:val="20"/>
        </w:rPr>
      </w:pPr>
      <w:r>
        <w:rPr>
          <w:rFonts w:ascii="Arial" w:hAnsi="Arial"/>
          <w:color w:val="000000"/>
          <w:sz w:val="20"/>
        </w:rPr>
        <w:t>Financial instruments that potentially expose the Company to concentrations of credit risk primarily consist of cash, cash equivalents, and marketable securities. The Company’s investment portfolio is primarily comprised of short term debt securities issued by the U.S., Danish, and German governments. The Company places its cash in financial institutions that management believes to be of high credit quality and, consequently, the Company does not believe it is subject to unusual credit risk beyond the normal credit risk associated with commercial banking relationships. Bank accounts in the United States are insured by the Federal Deposit Insurance Corporation up to $250,000.</w:t>
      </w:r>
    </w:p>
    <w:p>
      <w:pPr>
        <w:pStyle w:val="TextBody"/>
        <w:bidi w:val="0"/>
        <w:spacing w:before="360" w:after="283"/>
        <w:jc w:val="left"/>
        <w:rPr>
          <w:rFonts w:ascii="Arial" w:hAnsi="Arial"/>
          <w:b/>
          <w:i/>
          <w:color w:val="000000"/>
          <w:sz w:val="20"/>
        </w:rPr>
      </w:pPr>
      <w:r>
        <w:rPr>
          <w:rFonts w:ascii="Arial" w:hAnsi="Arial"/>
          <w:b/>
          <w:i/>
          <w:color w:val="000000"/>
          <w:sz w:val="20"/>
        </w:rPr>
        <w:t>Deferred Offering Costs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Deferred offering costs consist of certain legal, professional, accounting and other third-party fees that are incremental and directly associated with the IPO. These direct costs are capitalized and recorded as other non-current assets on the condensed consolidated balance sheets. Upon completion of the IPO in May 2026, the deferred offering costs were recorded as a reduction of the proceeds within additional paid-in capital. The Company had no deferred offering costs recorded as other non-current assets as of June 30, 2026 and 2025.</w:t>
      </w:r>
    </w:p>
    <w:p>
      <w:pPr>
        <w:pStyle w:val="TextBody"/>
        <w:bidi w:val="0"/>
        <w:spacing w:before="360" w:after="283"/>
        <w:jc w:val="left"/>
        <w:rPr>
          <w:rFonts w:ascii="Arial" w:hAnsi="Arial"/>
          <w:b/>
          <w:i/>
          <w:color w:val="000000"/>
          <w:sz w:val="20"/>
        </w:rPr>
      </w:pPr>
      <w:r>
        <w:rPr>
          <w:rFonts w:ascii="Arial" w:hAnsi="Arial"/>
          <w:b/>
          <w:i/>
          <w:color w:val="000000"/>
          <w:sz w:val="20"/>
        </w:rPr>
        <w:t>Comprehensive Loss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Comprehensive loss includes net loss as well as other changes in stockholders’ deficit that result from transactions and events other than those with stockholders. The Company’s unrealized gains and losses on available-for sale debt securities represent the only component of other comprehensive income (loss).</w:t>
      </w:r>
    </w:p>
    <w:p>
      <w:pPr>
        <w:pStyle w:val="TextBody"/>
        <w:bidi w:val="0"/>
        <w:spacing w:before="360" w:after="283"/>
        <w:jc w:val="left"/>
        <w:rPr>
          <w:rFonts w:ascii="Arial" w:hAnsi="Arial"/>
          <w:b/>
          <w:i/>
          <w:color w:val="000000"/>
          <w:sz w:val="20"/>
        </w:rPr>
      </w:pPr>
      <w:r>
        <w:rPr>
          <w:rFonts w:ascii="Arial" w:hAnsi="Arial"/>
          <w:b/>
          <w:i/>
          <w:color w:val="000000"/>
          <w:sz w:val="20"/>
        </w:rPr>
        <w:t>Recently Issued Accounting Standards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 xml:space="preserve">In December 2023, the FASB issued ASU 2023-09, </w:t>
      </w:r>
      <w:r>
        <w:rPr>
          <w:rFonts w:ascii="Arial" w:hAnsi="Arial"/>
          <w:i/>
          <w:color w:val="000000"/>
          <w:sz w:val="20"/>
        </w:rPr>
        <w:t>Income Taxes (Topic 740): Improvements to Income Tax Disclosures</w:t>
      </w:r>
      <w:r>
        <w:rPr>
          <w:rFonts w:ascii="Times New Roman" w:hAnsi="Times New Roman"/>
          <w:color w:val="000000"/>
          <w:sz w:val="20"/>
        </w:rPr>
        <w:t xml:space="preserve"> </w:t>
      </w:r>
      <w:r>
        <w:rPr>
          <w:rFonts w:ascii="Arial" w:hAnsi="Arial"/>
          <w:color w:val="000000"/>
          <w:sz w:val="20"/>
        </w:rPr>
        <w:t>(“ASU 2023-09”). ASU 2023-09 will require disclosure of additional information in specified categories with respect to the reconciliation of the effective tax rate to the statutory rate (the rate reconciliation) for federal, state and foreign income taxes. ASU 2023-09 will also require information pertaining to taxes paid (net of refunds received) to be disaggregated for federal, state and foreign taxes and further disaggregated for specific jurisdictions to the extent the related amounts exceed a quantitative threshold. ASU 2023-09 will be effective for the Company in the annual periods beginning after December 15, 2025. Early adoption is permitted for annual financial statements that have not yet been issued or made available for issuance. The Company is currently assessing the impact adoption of ASU 2023-09 will have on its consolidated financial statements and related disclosures.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Income Statement</w:t>
      </w:r>
      <w:r>
        <w:rPr>
          <w:rFonts w:ascii="Times New Roman" w:hAnsi="Times New Roman"/>
          <w:color w:val="231F20"/>
          <w:sz w:val="20"/>
        </w:rPr>
        <w:t>—</w:t>
      </w:r>
      <w:r>
        <w:rPr>
          <w:rFonts w:ascii="Arial" w:hAnsi="Arial"/>
          <w:i/>
          <w:color w:val="000000"/>
          <w:sz w:val="20"/>
        </w:rPr>
        <w:t>Reporting Comprehensive Income</w:t>
      </w:r>
      <w:r>
        <w:rPr>
          <w:rFonts w:ascii="Times New Roman" w:hAnsi="Times New Roman"/>
          <w:color w:val="231F20"/>
          <w:sz w:val="20"/>
        </w:rPr>
        <w:t>—</w:t>
      </w:r>
      <w:r>
        <w:rPr>
          <w:rFonts w:ascii="Arial" w:hAnsi="Arial"/>
          <w:i/>
          <w:color w:val="000000"/>
          <w:sz w:val="20"/>
        </w:rPr>
        <w:t>Expense Disaggregation Disclosures (Subtopic 220-40): Disaggregation of Income Statement Expenses</w:t>
      </w:r>
      <w:r>
        <w:rPr>
          <w:rFonts w:ascii="Times New Roman" w:hAnsi="Times New Roman"/>
          <w:color w:val="000000"/>
          <w:sz w:val="20"/>
        </w:rPr>
        <w:t xml:space="preserve"> </w:t>
      </w:r>
      <w:r>
        <w:rPr>
          <w:rFonts w:ascii="Arial" w:hAnsi="Arial"/>
          <w:color w:val="000000"/>
          <w:sz w:val="20"/>
        </w:rPr>
        <w:t>(“ASU 2024-03”). ASU 2024-03 will require disclosure of disaggregated information about certain income statement expense line items on an annual and interim basis, including purchases of inventory, employee compensation, depreciation, intangible asset amortization and depletion for each income statement line item that contains those expenses. ASU 2024-03 also will require certain amounts already disclosed under existing U.S. GAAP to also be disclosed as a separate category in disaggregated expense table(s), if those amounts are recognized in the relevant expense line item. The amendments in ASU 2024-03 will be effective for the Company in annual reporting periods beginning after December 15, 2026, and interim reporting periods within annual reporting periods beginning after December 15, 2027. The Company is currently assessing the impact adoption of ASU 2024-03 will have on its consolidated financial statements and related disclosures.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 xml:space="preserve">In December 2025, the FASB issued ASU 2025-11, </w:t>
      </w:r>
      <w:r>
        <w:rPr>
          <w:rFonts w:ascii="Arial" w:hAnsi="Arial"/>
          <w:i/>
          <w:color w:val="000000"/>
          <w:sz w:val="20"/>
        </w:rPr>
        <w:t>Interim Reporting (Topic 270): Narrow-Scope Improvements</w:t>
      </w:r>
      <w:r>
        <w:rPr>
          <w:rFonts w:ascii="Times New Roman" w:hAnsi="Times New Roman"/>
          <w:color w:val="000000"/>
          <w:sz w:val="20"/>
        </w:rPr>
        <w:t xml:space="preserve"> </w:t>
      </w:r>
      <w:r>
        <w:rPr>
          <w:rFonts w:ascii="Arial" w:hAnsi="Arial"/>
          <w:color w:val="000000"/>
          <w:sz w:val="20"/>
        </w:rPr>
        <w:t>(“ASU 2025-11”) to provide clarifications intended to improve the consistency and usability of interim disclosure requirements. ASU 2025-11 includes a comprehensive listing of required interim disclosures and a new disclosure principle for reporting material events occurring after the most recent annual period. ASU 2025-11 is effective for interim periods within annual reporting periods beginning after December 15, 2027, and early adoption is permitted. The amendments in this update permit an entity to apply the new guidance using a prospective or retrospective approach. The Company is currently assessing the impact adoption of ASU 2025-11 will have on its consolidated financial statements and related disclosures.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3. Fair Value Measurements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The following tables present information about the Company’s financial assets measured at fair value on a recurring basis and indicate the level of the fair value hierarchy utilized to determine such fair values as of June 30, 2026 and December 31, 2025 (in thousands):</w:t>
      </w:r>
    </w:p>
    <w:p>
      <w:pPr>
        <w:pStyle w:val="TextBody"/>
        <w:bidi w:val="0"/>
        <w:ind w:left="0" w:right="0" w:firstLine="720"/>
        <w:jc w:val="left"/>
        <w:rPr/>
      </w:pPr>
      <w:r>
        <w:rPr/>
        <w:t> </w:t>
      </w:r>
    </w:p>
    <w:tbl>
      <w:tblPr>
        <w:tblW w:w="9569" w:type="dxa"/>
        <w:jc w:val="left"/>
        <w:tblInd w:w="0" w:type="dxa"/>
        <w:tblLayout w:type="fixed"/>
        <w:tblCellMar>
          <w:top w:w="28" w:type="dxa"/>
          <w:left w:w="28" w:type="dxa"/>
          <w:bottom w:w="28" w:type="dxa"/>
          <w:right w:w="28" w:type="dxa"/>
        </w:tblCellMar>
      </w:tblPr>
      <w:tblGrid>
        <w:gridCol w:w="3756"/>
        <w:gridCol w:w="146"/>
        <w:gridCol w:w="312"/>
        <w:gridCol w:w="513"/>
        <w:gridCol w:w="146"/>
        <w:gridCol w:w="146"/>
        <w:gridCol w:w="211"/>
        <w:gridCol w:w="796"/>
        <w:gridCol w:w="146"/>
        <w:gridCol w:w="146"/>
        <w:gridCol w:w="454"/>
        <w:gridCol w:w="747"/>
        <w:gridCol w:w="146"/>
        <w:gridCol w:w="146"/>
        <w:gridCol w:w="211"/>
        <w:gridCol w:w="796"/>
        <w:gridCol w:w="75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Quoted</w:t>
              <w:br/>
              <w:t xml:space="preserve">Prices in </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Unobservable</w:t>
              <w:br/>
              <w:t>Inputs</w:t>
              <w:b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Non-U.S.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111,404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108,690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220,094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tbl>
      <w:tblPr>
        <w:tblW w:w="9569" w:type="dxa"/>
        <w:jc w:val="left"/>
        <w:tblInd w:w="0" w:type="dxa"/>
        <w:tblLayout w:type="fixed"/>
        <w:tblCellMar>
          <w:top w:w="28" w:type="dxa"/>
          <w:left w:w="28" w:type="dxa"/>
          <w:bottom w:w="28" w:type="dxa"/>
          <w:right w:w="28" w:type="dxa"/>
        </w:tblCellMar>
      </w:tblPr>
      <w:tblGrid>
        <w:gridCol w:w="3756"/>
        <w:gridCol w:w="146"/>
        <w:gridCol w:w="312"/>
        <w:gridCol w:w="513"/>
        <w:gridCol w:w="146"/>
        <w:gridCol w:w="146"/>
        <w:gridCol w:w="211"/>
        <w:gridCol w:w="796"/>
        <w:gridCol w:w="146"/>
        <w:gridCol w:w="146"/>
        <w:gridCol w:w="454"/>
        <w:gridCol w:w="747"/>
        <w:gridCol w:w="146"/>
        <w:gridCol w:w="146"/>
        <w:gridCol w:w="211"/>
        <w:gridCol w:w="796"/>
        <w:gridCol w:w="75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Quoted</w:t>
              <w:br/>
              <w:t xml:space="preserve">Prices in </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Unobservable</w:t>
              <w:br/>
              <w:t>Inputs</w:t>
              <w:b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50,930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Non-U.S.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17,638</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97,511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166,079</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ind w:left="0" w:right="0" w:firstLine="720"/>
        <w:jc w:val="left"/>
        <w:rPr>
          <w:rFonts w:ascii="Arial" w:hAnsi="Arial"/>
          <w:color w:val="000000"/>
          <w:sz w:val="20"/>
        </w:rPr>
      </w:pPr>
      <w:r>
        <w:rPr>
          <w:rFonts w:ascii="Arial" w:hAnsi="Arial"/>
          <w:color w:val="000000"/>
          <w:sz w:val="20"/>
        </w:rPr>
        <w:t>The Company’s cash equivalents and marketable securities were valued based on Level 2 inputs and in determining the fair value the Company relied on quoted prices for similar securities in active markets or other inputs that are observable or can be corroborated by observable market data.</w:t>
      </w:r>
    </w:p>
    <w:p>
      <w:pPr>
        <w:pStyle w:val="TextBody"/>
        <w:bidi w:val="0"/>
        <w:spacing w:before="360" w:after="283"/>
        <w:jc w:val="left"/>
        <w:rPr>
          <w:rFonts w:ascii="Arial" w:hAnsi="Arial"/>
          <w:b/>
          <w:color w:val="000000"/>
          <w:sz w:val="20"/>
        </w:rPr>
      </w:pPr>
      <w:r>
        <w:rPr>
          <w:rFonts w:ascii="Arial" w:hAnsi="Arial"/>
          <w:b/>
          <w:color w:val="000000"/>
          <w:sz w:val="20"/>
        </w:rPr>
        <w:t>4. Available-For-Sale Debt Securities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Available-for-sale debt securities consisted of the following as of June 30, 2026 and December 31, 2025 (in thousands):</w:t>
      </w:r>
    </w:p>
    <w:p>
      <w:pPr>
        <w:pStyle w:val="TextBody"/>
        <w:bidi w:val="0"/>
        <w:ind w:left="0" w:right="0" w:firstLine="720"/>
        <w:jc w:val="left"/>
        <w:rPr/>
      </w:pPr>
      <w:r>
        <w:rPr/>
        <w:t> </w:t>
      </w:r>
    </w:p>
    <w:tbl>
      <w:tblPr>
        <w:tblW w:w="9696" w:type="dxa"/>
        <w:jc w:val="left"/>
        <w:tblInd w:w="0" w:type="dxa"/>
        <w:tblLayout w:type="fixed"/>
        <w:tblCellMar>
          <w:top w:w="28" w:type="dxa"/>
          <w:left w:w="28" w:type="dxa"/>
          <w:bottom w:w="28" w:type="dxa"/>
          <w:right w:w="28" w:type="dxa"/>
        </w:tblCellMar>
      </w:tblPr>
      <w:tblGrid>
        <w:gridCol w:w="2531"/>
        <w:gridCol w:w="146"/>
        <w:gridCol w:w="283"/>
        <w:gridCol w:w="1067"/>
        <w:gridCol w:w="146"/>
        <w:gridCol w:w="146"/>
        <w:gridCol w:w="551"/>
        <w:gridCol w:w="904"/>
        <w:gridCol w:w="146"/>
        <w:gridCol w:w="146"/>
        <w:gridCol w:w="382"/>
        <w:gridCol w:w="1178"/>
        <w:gridCol w:w="166"/>
        <w:gridCol w:w="146"/>
        <w:gridCol w:w="211"/>
        <w:gridCol w:w="796"/>
        <w:gridCol w:w="751"/>
      </w:tblGrid>
      <w:tr>
        <w:trPr/>
        <w:tc>
          <w:tcPr>
            <w:tcW w:w="2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108,690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Non-U.S.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111,404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220,094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tbl>
      <w:tblPr>
        <w:tblW w:w="9696" w:type="dxa"/>
        <w:jc w:val="left"/>
        <w:tblInd w:w="0" w:type="dxa"/>
        <w:tblLayout w:type="fixed"/>
        <w:tblCellMar>
          <w:top w:w="28" w:type="dxa"/>
          <w:left w:w="28" w:type="dxa"/>
          <w:bottom w:w="28" w:type="dxa"/>
          <w:right w:w="28" w:type="dxa"/>
        </w:tblCellMar>
      </w:tblPr>
      <w:tblGrid>
        <w:gridCol w:w="2531"/>
        <w:gridCol w:w="146"/>
        <w:gridCol w:w="283"/>
        <w:gridCol w:w="1067"/>
        <w:gridCol w:w="146"/>
        <w:gridCol w:w="146"/>
        <w:gridCol w:w="484"/>
        <w:gridCol w:w="971"/>
        <w:gridCol w:w="146"/>
        <w:gridCol w:w="146"/>
        <w:gridCol w:w="561"/>
        <w:gridCol w:w="999"/>
        <w:gridCol w:w="166"/>
        <w:gridCol w:w="146"/>
        <w:gridCol w:w="211"/>
        <w:gridCol w:w="796"/>
        <w:gridCol w:w="751"/>
      </w:tblGrid>
      <w:tr>
        <w:trPr/>
        <w:tc>
          <w:tcPr>
            <w:tcW w:w="2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97,511</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Non-U.S.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115,149</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Arial" w:hAnsi="Arial"/>
          <w:color w:val="000000"/>
          <w:sz w:val="20"/>
        </w:rPr>
        <w:t>All of the Company’s available-for-sale debt securities as of June 30, 2026 and December 31, 2025</w:t>
      </w:r>
      <w:r>
        <w:rPr>
          <w:rFonts w:ascii="Times New Roman" w:hAnsi="Times New Roman"/>
          <w:color w:val="000000"/>
          <w:sz w:val="20"/>
        </w:rPr>
        <w:t xml:space="preserve"> </w:t>
      </w:r>
      <w:r>
        <w:rPr>
          <w:rFonts w:ascii="Arial" w:hAnsi="Arial"/>
          <w:color w:val="000000"/>
          <w:sz w:val="20"/>
        </w:rPr>
        <w:t>had a contractual maturity of less than 12</w:t>
      </w:r>
      <w:r>
        <w:rPr>
          <w:rFonts w:ascii="Times New Roman" w:hAnsi="Times New Roman"/>
          <w:color w:val="000000"/>
          <w:sz w:val="20"/>
        </w:rPr>
        <w:t xml:space="preserve"> </w:t>
      </w:r>
      <w:r>
        <w:rPr>
          <w:rFonts w:ascii="Arial" w:hAnsi="Arial"/>
          <w:color w:val="000000"/>
          <w:sz w:val="20"/>
        </w:rPr>
        <w:t>months. All of the Company’s available-for-sale debt securities as of June 30, 2026 and December 31, 2025 are classified as current as they mature within one year from the balance sheet date.</w:t>
      </w:r>
    </w:p>
    <w:p>
      <w:pPr>
        <w:pStyle w:val="TextBody"/>
        <w:bidi w:val="0"/>
        <w:ind w:left="0" w:right="0" w:firstLine="72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Company recognized net realized gains of $0.2</w:t>
      </w:r>
      <w:r>
        <w:rPr>
          <w:rFonts w:ascii="Times New Roman" w:hAnsi="Times New Roman"/>
          <w:color w:val="000000"/>
          <w:sz w:val="20"/>
        </w:rPr>
        <w:t xml:space="preserve"> </w:t>
      </w:r>
      <w:r>
        <w:rPr>
          <w:rFonts w:ascii="Arial" w:hAnsi="Arial"/>
          <w:color w:val="000000"/>
          <w:sz w:val="20"/>
        </w:rPr>
        <w:t>million during the six months ended June 30, 2026</w:t>
      </w:r>
      <w:r>
        <w:rPr>
          <w:rFonts w:ascii="Times New Roman" w:hAnsi="Times New Roman"/>
          <w:color w:val="000000"/>
          <w:sz w:val="20"/>
        </w:rPr>
        <w:t xml:space="preserve"> </w:t>
      </w:r>
      <w:r>
        <w:rPr>
          <w:rFonts w:ascii="Arial" w:hAnsi="Arial"/>
          <w:color w:val="000000"/>
          <w:sz w:val="20"/>
        </w:rPr>
        <w:t>on its available-for-sale debt securities. There were no</w:t>
      </w:r>
      <w:r>
        <w:rPr>
          <w:rFonts w:ascii="Times New Roman" w:hAnsi="Times New Roman"/>
          <w:color w:val="000000"/>
          <w:sz w:val="20"/>
        </w:rPr>
        <w:t xml:space="preserve"> </w:t>
      </w:r>
      <w:r>
        <w:rPr>
          <w:rFonts w:ascii="Arial" w:hAnsi="Arial"/>
          <w:color w:val="000000"/>
          <w:sz w:val="20"/>
        </w:rPr>
        <w:t>net realized gains or losses during the three months ended June 30, 2026. During the three and six months ended June 30, 2025, the Company recognized net realized gains of $1.3</w:t>
      </w:r>
      <w:r>
        <w:rPr>
          <w:rFonts w:ascii="Times New Roman" w:hAnsi="Times New Roman"/>
          <w:color w:val="000000"/>
          <w:sz w:val="20"/>
        </w:rPr>
        <w:t xml:space="preserve"> </w:t>
      </w:r>
      <w:r>
        <w:rPr>
          <w:rFonts w:ascii="Arial" w:hAnsi="Arial"/>
          <w:color w:val="000000"/>
          <w:sz w:val="20"/>
        </w:rPr>
        <w:t>million and $0.9</w:t>
      </w:r>
      <w:r>
        <w:rPr>
          <w:rFonts w:ascii="Times New Roman" w:hAnsi="Times New Roman"/>
          <w:color w:val="000000"/>
          <w:sz w:val="20"/>
        </w:rPr>
        <w:t xml:space="preserve"> </w:t>
      </w:r>
      <w:r>
        <w:rPr>
          <w:rFonts w:ascii="Arial" w:hAnsi="Arial"/>
          <w:color w:val="000000"/>
          <w:sz w:val="20"/>
        </w:rPr>
        <w:t>million respectively on its available-for-sale debt securities. These net realized gains and losses were recognized in other income (expense), net and represent amounts reclassified from accumulated other comprehensive income (loss) into earnings.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As of June 30, 2026, the Company held six securities in an unrealized loss position with an aggregate fair value of $220.1</w:t>
      </w:r>
      <w:r>
        <w:rPr>
          <w:rFonts w:ascii="Times New Roman" w:hAnsi="Times New Roman"/>
          <w:color w:val="000000"/>
          <w:sz w:val="20"/>
        </w:rPr>
        <w:t xml:space="preserve"> </w:t>
      </w:r>
      <w:r>
        <w:rPr>
          <w:rFonts w:ascii="Arial" w:hAnsi="Arial"/>
          <w:color w:val="000000"/>
          <w:sz w:val="20"/>
        </w:rPr>
        <w:t>million. As of December 31, 2025, the Company held three securities in an unrealized loss position with an aggregate fair value of $97.5</w:t>
      </w:r>
      <w:r>
        <w:rPr>
          <w:rFonts w:ascii="Times New Roman" w:hAnsi="Times New Roman"/>
          <w:color w:val="000000"/>
          <w:sz w:val="20"/>
        </w:rPr>
        <w:t xml:space="preserve"> </w:t>
      </w:r>
      <w:r>
        <w:rPr>
          <w:rFonts w:ascii="Arial" w:hAnsi="Arial"/>
          <w:color w:val="000000"/>
          <w:sz w:val="20"/>
        </w:rPr>
        <w:t>million. None</w:t>
      </w:r>
      <w:r>
        <w:rPr>
          <w:rFonts w:ascii="Times New Roman" w:hAnsi="Times New Roman"/>
          <w:color w:val="000000"/>
          <w:sz w:val="20"/>
        </w:rPr>
        <w:t xml:space="preserve"> </w:t>
      </w:r>
      <w:r>
        <w:rPr>
          <w:rFonts w:ascii="Arial" w:hAnsi="Arial"/>
          <w:color w:val="000000"/>
          <w:sz w:val="20"/>
        </w:rPr>
        <w:t>of the securities were in an unrealized loss position for greater than 12 months.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 Company has the intent and ability to hold its debt securities until recovery of their amortized cost bases, which may be at maturity. As a result, the Company did not recognize any differences between the fair value and amortized cost basis as a loss in its consolidated statements of operations and comprehensive loss for the six months ended June 30, 2026 and year ended December 31, 2025. The Company did not record any credit-related impairments for its available-for-sale debt securities for the six months ended June 30, 2026 and year ended December 31, 2025.</w:t>
      </w:r>
    </w:p>
    <w:p>
      <w:pPr>
        <w:pStyle w:val="TextBody"/>
        <w:bidi w:val="0"/>
        <w:spacing w:before="360" w:after="283"/>
        <w:jc w:val="left"/>
        <w:rPr>
          <w:rFonts w:ascii="Arial" w:hAnsi="Arial"/>
          <w:b/>
          <w:color w:val="000000"/>
          <w:sz w:val="20"/>
        </w:rPr>
      </w:pPr>
      <w:r>
        <w:rPr>
          <w:rFonts w:ascii="Arial" w:hAnsi="Arial"/>
          <w:b/>
          <w:color w:val="000000"/>
          <w:sz w:val="20"/>
        </w:rPr>
        <w:t>5. Prepaid Expenses and Other Current Assets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Prepaid expenses and other current assets consisted of the following (in thousands):</w:t>
      </w:r>
      <w:r>
        <w:rPr>
          <w:rFonts w:ascii="Times New Roman" w:hAnsi="Times New Roman"/>
          <w:color w:val="000000"/>
          <w:sz w:val="20"/>
        </w:rPr>
        <w:t xml:space="preserve"> </w:t>
      </w:r>
    </w:p>
    <w:p>
      <w:pPr>
        <w:pStyle w:val="TextBody"/>
        <w:bidi w:val="0"/>
        <w:ind w:left="0" w:right="0" w:firstLine="720"/>
        <w:jc w:val="left"/>
        <w:rPr/>
      </w:pPr>
      <w:r>
        <w:rPr/>
        <w:t> </w:t>
      </w:r>
    </w:p>
    <w:tbl>
      <w:tblPr>
        <w:tblW w:w="4277" w:type="dxa"/>
        <w:jc w:val="left"/>
        <w:tblInd w:w="0" w:type="dxa"/>
        <w:tblLayout w:type="fixed"/>
        <w:tblCellMar>
          <w:top w:w="28" w:type="dxa"/>
          <w:left w:w="28" w:type="dxa"/>
          <w:bottom w:w="28" w:type="dxa"/>
          <w:right w:w="28" w:type="dxa"/>
        </w:tblCellMar>
      </w:tblPr>
      <w:tblGrid>
        <w:gridCol w:w="1681"/>
        <w:gridCol w:w="146"/>
        <w:gridCol w:w="211"/>
        <w:gridCol w:w="586"/>
        <w:gridCol w:w="146"/>
        <w:gridCol w:w="146"/>
        <w:gridCol w:w="309"/>
        <w:gridCol w:w="86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spacing w:before="160" w:after="283"/>
        <w:jc w:val="left"/>
        <w:rPr>
          <w:rFonts w:ascii="Arial" w:hAnsi="Arial"/>
          <w:b/>
          <w:color w:val="000000"/>
          <w:sz w:val="20"/>
        </w:rPr>
      </w:pPr>
      <w:r>
        <w:rPr>
          <w:rFonts w:ascii="Arial" w:hAnsi="Arial"/>
          <w:b/>
          <w:color w:val="000000"/>
          <w:sz w:val="20"/>
        </w:rPr>
        <w:t>6. Property and Equipment, net</w:t>
      </w:r>
    </w:p>
    <w:p>
      <w:pPr>
        <w:pStyle w:val="TextBody"/>
        <w:bidi w:val="0"/>
        <w:spacing w:before="120" w:after="283"/>
        <w:ind w:left="0" w:right="0" w:firstLine="720"/>
        <w:jc w:val="left"/>
        <w:rPr>
          <w:rFonts w:ascii="Arial" w:hAnsi="Arial"/>
          <w:color w:val="000000"/>
          <w:sz w:val="20"/>
        </w:rPr>
      </w:pPr>
      <w:r>
        <w:rPr>
          <w:rFonts w:ascii="Arial" w:hAnsi="Arial"/>
          <w:color w:val="000000"/>
          <w:sz w:val="20"/>
        </w:rPr>
        <w:t>Property and equipment, net, consisted of the following (in thousands):</w:t>
      </w:r>
    </w:p>
    <w:p>
      <w:pPr>
        <w:pStyle w:val="TextBody"/>
        <w:bidi w:val="0"/>
        <w:jc w:val="left"/>
        <w:rPr/>
      </w:pPr>
      <w:r>
        <w:rPr/>
        <w:t> </w:t>
      </w:r>
    </w:p>
    <w:tbl>
      <w:tblPr>
        <w:tblW w:w="6852" w:type="dxa"/>
        <w:jc w:val="left"/>
        <w:tblInd w:w="0" w:type="dxa"/>
        <w:tblLayout w:type="fixed"/>
        <w:tblCellMar>
          <w:top w:w="28" w:type="dxa"/>
          <w:left w:w="28" w:type="dxa"/>
          <w:bottom w:w="28" w:type="dxa"/>
          <w:right w:w="28" w:type="dxa"/>
        </w:tblCellMar>
      </w:tblPr>
      <w:tblGrid>
        <w:gridCol w:w="3796"/>
        <w:gridCol w:w="146"/>
        <w:gridCol w:w="211"/>
        <w:gridCol w:w="586"/>
        <w:gridCol w:w="166"/>
        <w:gridCol w:w="146"/>
        <w:gridCol w:w="309"/>
        <w:gridCol w:w="861"/>
        <w:gridCol w:w="63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property and equipment,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720"/>
        <w:jc w:val="left"/>
        <w:rPr>
          <w:rFonts w:ascii="Times New Roman" w:hAnsi="Times New Roman"/>
          <w:sz w:val="20"/>
        </w:rPr>
      </w:pPr>
      <w:r>
        <w:rPr>
          <w:rFonts w:ascii="Arial" w:hAnsi="Arial"/>
          <w:color w:val="000000"/>
          <w:sz w:val="20"/>
        </w:rPr>
        <w:t>As of June 30, 2026, there were no</w:t>
      </w:r>
      <w:r>
        <w:rPr>
          <w:rFonts w:ascii="Times New Roman" w:hAnsi="Times New Roman"/>
          <w:color w:val="000000"/>
          <w:sz w:val="20"/>
        </w:rPr>
        <w:t xml:space="preserve"> </w:t>
      </w:r>
      <w:r>
        <w:rPr>
          <w:rFonts w:ascii="Arial" w:hAnsi="Arial"/>
          <w:color w:val="000000"/>
          <w:sz w:val="20"/>
        </w:rPr>
        <w:t>finance leased assets included in property and equipment, net. As of December 31, 2025, property and equipment, net included finance leased assets of approximately $0.5</w:t>
      </w:r>
      <w:r>
        <w:rPr>
          <w:rFonts w:ascii="Times New Roman" w:hAnsi="Times New Roman"/>
          <w:color w:val="000000"/>
          <w:sz w:val="20"/>
        </w:rPr>
        <w:t xml:space="preserve"> </w:t>
      </w:r>
      <w:r>
        <w:rPr>
          <w:rFonts w:ascii="Arial" w:hAnsi="Arial"/>
          <w:color w:val="000000"/>
          <w:sz w:val="20"/>
        </w:rPr>
        <w:t>million, with accumulated depreciation of approximately $0.3</w:t>
      </w:r>
      <w:r>
        <w:rPr>
          <w:rFonts w:ascii="Times New Roman" w:hAnsi="Times New Roman"/>
          <w:color w:val="000000"/>
          <w:sz w:val="20"/>
        </w:rPr>
        <w:t xml:space="preserve"> </w:t>
      </w:r>
      <w:r>
        <w:rPr>
          <w:rFonts w:ascii="Arial" w:hAnsi="Arial"/>
          <w:color w:val="000000"/>
          <w:sz w:val="20"/>
        </w:rPr>
        <w:t>million. Depreciation expense was approximately $0.1</w:t>
      </w:r>
      <w:r>
        <w:rPr>
          <w:rFonts w:ascii="Times New Roman" w:hAnsi="Times New Roman"/>
          <w:color w:val="000000"/>
          <w:sz w:val="20"/>
        </w:rPr>
        <w:t xml:space="preserve"> </w:t>
      </w:r>
      <w:r>
        <w:rPr>
          <w:rFonts w:ascii="Arial" w:hAnsi="Arial"/>
          <w:color w:val="000000"/>
          <w:sz w:val="20"/>
        </w:rPr>
        <w:t>million for each of the three months ended June 30, 2026 and 2025</w:t>
      </w:r>
      <w:r>
        <w:rPr>
          <w:rFonts w:ascii="Times New Roman" w:hAnsi="Times New Roman"/>
          <w:color w:val="000000"/>
          <w:sz w:val="20"/>
        </w:rPr>
        <w:t xml:space="preserve"> </w:t>
      </w:r>
      <w:r>
        <w:rPr>
          <w:rFonts w:ascii="Arial" w:hAnsi="Arial"/>
          <w:color w:val="000000"/>
          <w:sz w:val="20"/>
        </w:rPr>
        <w:t>and approximately $0.2</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for the six months ended June 30, 2026 and 2025, respectively.</w:t>
      </w:r>
    </w:p>
    <w:p>
      <w:pPr>
        <w:pStyle w:val="TextBody"/>
        <w:bidi w:val="0"/>
        <w:spacing w:before="360" w:after="283"/>
        <w:jc w:val="left"/>
        <w:rPr>
          <w:rFonts w:ascii="Arial" w:hAnsi="Arial"/>
          <w:b/>
          <w:color w:val="000000"/>
          <w:sz w:val="20"/>
        </w:rPr>
      </w:pPr>
      <w:r>
        <w:rPr>
          <w:rFonts w:ascii="Arial" w:hAnsi="Arial"/>
          <w:b/>
          <w:color w:val="000000"/>
          <w:sz w:val="20"/>
        </w:rPr>
        <w:t>7. Accrued Expenses and Other Current Liabilities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Accrued expenses and other current liabilities consist of the following (in thousands):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97" w:type="dxa"/>
        <w:jc w:val="left"/>
        <w:tblInd w:w="0" w:type="dxa"/>
        <w:tblLayout w:type="fixed"/>
        <w:tblCellMar>
          <w:top w:w="28" w:type="dxa"/>
          <w:left w:w="28" w:type="dxa"/>
          <w:bottom w:w="28" w:type="dxa"/>
          <w:right w:w="28" w:type="dxa"/>
        </w:tblCellMar>
      </w:tblPr>
      <w:tblGrid>
        <w:gridCol w:w="4501"/>
        <w:gridCol w:w="146"/>
        <w:gridCol w:w="211"/>
        <w:gridCol w:w="586"/>
        <w:gridCol w:w="146"/>
        <w:gridCol w:w="146"/>
        <w:gridCol w:w="309"/>
        <w:gridCol w:w="861"/>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contract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b/>
          <w:color w:val="000000"/>
          <w:sz w:val="20"/>
        </w:rPr>
      </w:pPr>
      <w:r>
        <w:rPr>
          <w:rFonts w:ascii="Arial" w:hAnsi="Arial"/>
          <w:b/>
          <w:color w:val="000000"/>
          <w:sz w:val="20"/>
        </w:rPr>
        <w:t>8. Commitments and Contingencies</w:t>
      </w:r>
    </w:p>
    <w:p>
      <w:pPr>
        <w:pStyle w:val="TextBody"/>
        <w:bidi w:val="0"/>
        <w:spacing w:before="120" w:after="283"/>
        <w:jc w:val="left"/>
        <w:rPr>
          <w:rFonts w:ascii="Arial" w:hAnsi="Arial"/>
          <w:b/>
          <w:i/>
          <w:color w:val="000000"/>
          <w:sz w:val="20"/>
        </w:rPr>
      </w:pPr>
      <w:r>
        <w:rPr>
          <w:rFonts w:ascii="Arial" w:hAnsi="Arial"/>
          <w:b/>
          <w:i/>
          <w:color w:val="000000"/>
          <w:sz w:val="20"/>
        </w:rPr>
        <w:t>License and Collaboration Agreements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The Company is party to certain agreements that may require future payments upon the achievement of specified development, regulatory, and commercial milestones, as well as royalty payments. These potential obligations are not recorded as liabilities until the underlying milestone event is deemed probable of occurrence and the related amount is reasonably estimable.</w:t>
      </w:r>
    </w:p>
    <w:p>
      <w:pPr>
        <w:pStyle w:val="TextBody"/>
        <w:bidi w:val="0"/>
        <w:spacing w:before="360" w:after="283"/>
        <w:jc w:val="both"/>
        <w:rPr>
          <w:rFonts w:ascii="Arial" w:hAnsi="Arial"/>
          <w:b/>
          <w:i/>
          <w:color w:val="000000"/>
          <w:sz w:val="20"/>
        </w:rPr>
      </w:pPr>
      <w:r>
        <w:rPr>
          <w:rFonts w:ascii="Arial" w:hAnsi="Arial"/>
          <w:b/>
          <w:i/>
          <w:color w:val="000000"/>
          <w:sz w:val="20"/>
        </w:rPr>
        <w:t>Agreement with Novo Nordisk</w:t>
      </w:r>
    </w:p>
    <w:p>
      <w:pPr>
        <w:pStyle w:val="TextBody"/>
        <w:bidi w:val="0"/>
        <w:spacing w:before="120" w:after="283"/>
        <w:ind w:left="0" w:right="0" w:firstLine="720"/>
        <w:jc w:val="left"/>
        <w:rPr>
          <w:rFonts w:ascii="Arial" w:hAnsi="Arial"/>
          <w:color w:val="000000"/>
          <w:sz w:val="20"/>
        </w:rPr>
      </w:pPr>
      <w:r>
        <w:rPr>
          <w:rFonts w:ascii="Arial" w:hAnsi="Arial"/>
          <w:color w:val="000000"/>
          <w:sz w:val="20"/>
        </w:rPr>
        <w:t>In November 2019, the Company entered into a license agreement with Novo Nordisk A/S (“Novo Nordisk”), pursuant to which Novo Nordisk granted the Company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(“Novo Licensed Products”), containing bispecific IgG antibodies targeting TLT-1 and Factor VII, including sutacimig, for the treatment of bleeding conditions, including hemophilia (the “Novo Nordisk Agreement”). Under the terms of the Novo Nordisk Agreement, the Company has agreed to use commercially reasonable efforts to develop and commercialize a Novo Licensed Product.</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Company is obligated to pay to Novo Nordisk a one-time DKK 40</w:t>
      </w:r>
      <w:r>
        <w:rPr>
          <w:rFonts w:ascii="Times New Roman" w:hAnsi="Times New Roman"/>
          <w:color w:val="000000"/>
          <w:sz w:val="20"/>
        </w:rPr>
        <w:t xml:space="preserve"> </w:t>
      </w:r>
      <w:r>
        <w:rPr>
          <w:rFonts w:ascii="Arial" w:hAnsi="Arial"/>
          <w:color w:val="000000"/>
          <w:sz w:val="20"/>
        </w:rPr>
        <w:t>million milestone payment upon achievement by a Novo Licensed Product of a specified regulatory milestone event, and the Company is also 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The Company currently expects that all of the licensed patents under the Novo Nordisk Agreement will expire by 2040, potentially extending to 2045 with patent term extension. To date, the Company has not made any payments to Novo Nordisk under the Novo Nordisk Agreement.</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 Novo Nordisk Agreement will continue in force until it is terminated. On expiration of each royalty term, the Company’s license becomes royalty-free, perpetual, and irrevocable with respect to the applicable Novo Licensed Product in the applicable country. Either party may terminate the Novo Nordisk Agreement for the other party’s uncured material breach or insolvency. The Company may terminate the Novo Nordisk Agreement for any reason upon 90 days’ written notice to Novo Nordisk. In the event that Novo Nordisk regains control of the exclusive right to exploit the Novo Licensed Product, the Novo Nordisk Agreement will automatically terminate.</w:t>
      </w:r>
    </w:p>
    <w:p>
      <w:pPr>
        <w:pStyle w:val="TextBody"/>
        <w:bidi w:val="0"/>
        <w:spacing w:before="360" w:after="283"/>
        <w:jc w:val="both"/>
        <w:rPr>
          <w:rFonts w:ascii="Arial" w:hAnsi="Arial"/>
          <w:b/>
          <w:i/>
          <w:color w:val="000000"/>
          <w:sz w:val="20"/>
        </w:rPr>
      </w:pPr>
      <w:r>
        <w:rPr>
          <w:rFonts w:ascii="Arial" w:hAnsi="Arial"/>
          <w:b/>
          <w:i/>
          <w:color w:val="000000"/>
          <w:sz w:val="20"/>
        </w:rPr>
        <w:t>Agreement with Genmab</w:t>
      </w:r>
    </w:p>
    <w:p>
      <w:pPr>
        <w:pStyle w:val="TextBody"/>
        <w:bidi w:val="0"/>
        <w:spacing w:before="120" w:after="283"/>
        <w:ind w:left="0" w:right="0" w:firstLine="720"/>
        <w:jc w:val="left"/>
        <w:rPr>
          <w:rFonts w:ascii="Arial" w:hAnsi="Arial"/>
          <w:color w:val="000000"/>
          <w:sz w:val="20"/>
        </w:rPr>
      </w:pPr>
      <w:r>
        <w:rPr>
          <w:rFonts w:ascii="Arial" w:hAnsi="Arial"/>
          <w:color w:val="000000"/>
          <w:sz w:val="20"/>
        </w:rPr>
        <w:t>In April 2020, the Company entered into a license agreement with Genmab A/S (“Genmab”), pursuant to which Genmab granted the Company an exclusive (even as to Genmab and its affiliates), worldwide and sublicensable license under platform technology patent rights and know-how relating to Genmab’s proprietary DuoBody® platform to research, develop, make, have made, use, manufacture, import, export and commercialize products comprising bispecific IgG antibodies targeting TLT-1 and Factor VII (the “TLT-1/Factor VII Antibody Products”), including sutacimig, for the treatment of bleeding conditions, including hemophilia (the “Genmab Agreement”). Under the terms of the Genmab Agreement, the Company has agreed to use commercially reasonable efforts to develop, manufacture, obtain regulatory approval for and commercialize TLT-1/Factor VII Antibody Products worldwide.</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Under the Genmab Agreement, the Company is obligated to pay Genmab a percentage of all net profit (i.e., revenue and other proceeds less specified direct costs the Company incurs to conduct research, development, manufacture and commercialization of TLT-1/Factor VII Antibody Products) the Company or its affiliates receive with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respect to any TLT-1/Factor VII Antibody Products, including (1) 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the Company or its affiliates receive if the Company undergoes a change of control (other than an acquisition by Novo Nordisk). The percentage of net profit the Company owes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the Company owes with respect to such TLT-1/Factor VII Antibody Product is in the high single digits in all territories in which the Company commercializes such TLT-1/Factor VII Antibody Product and in the mid-teens in all territories in which a third party, other than Novo Nordisk, commercializes such TLT-1/Factor VII Antibody Product. The Company is obligated to pay such percentage of net profit on a country-by-country and TLT-1/Factor VII Antibody Product-by-TLT-1/Factor VII Antibody Product basis until the later of the expiration of the last-to-expire of the platform technology patent rights licensed under the Genmab Agreement covering such TLT-1/Factor VII Antibody Product in such country and twelve years following the first commercial sale of such TLT-1/Factor VII Antibody Product in such country, which the Company refers to as the net profit share term. Following the expiration of the last-to-expire of the platform technology patent rights licensed under the Genmab Agreement covering a given TLT-1/Factor VII Antibody Product in a given country, the percentage of net profit that the Company is obligated to pay with respect to sales of such TLT-1/Factor VII Antibody Product in such country will be reduced by a specified percentage for the remainder of the net profit share term for such TLT-1/Factor VII Antibody Product in such country. The Company currently expects that all of the platform technology patent rights licensed under the Genmab Agreement will expire by 2032, though this date may be extended if, for example, Genmab files additional patents covering its platform technology. To date, the Company has not made any payments to Genmab under the Genmab Agreement.</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the event the Company seeks to sell, license or otherwise dispose of its rights to TLT-1/Factor VII Antibody Products, including through a change of control to any third party other than Novo Nordisk, the Company is obligated to provide Genmab the right to participate in any bidding process as a bona fide potential acquirer of such rights.</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Unless earlier terminated, the Genmab Agreement will expire, on a TLT-1/Factor VII Antibody Product-by-TLT-1/Factor VII Antibody Product and country-by-country basis, upon the expiration of the last net profit share term for such TLT-1/Factor VII Antibody Product in such country. On expiration of each net profit share term, the Company’s license becomes perpetual, fully paid-up and non-exclusive with respect to the applicable TLT-1/Factor VII Antibody Product in the applicable country. Either party may terminate the Genmab Agreement for the other party’s uncured material breach or insolvency or in certain events of force majeure. Genmab may terminate the Genmab Agreement if the Company or its affiliates or sublicensees challenge any of the platform technology patent rights licensed under the Genmab Agreement. The Company may terminate the Genmab Agreement for any reason upon 120 days written notice to Genmab. If Novo Nordisk obtains from the Company the exclusive right to exploit TLT-1/Factor VII Antibody Products, including upon termination of the Novo Nordisk Agreement, then the Genmab Agreement will terminate in all territories in which Novo Nordisk obtains such exclusive rights.</w:t>
      </w:r>
    </w:p>
    <w:p>
      <w:pPr>
        <w:pStyle w:val="TextBody"/>
        <w:bidi w:val="0"/>
        <w:spacing w:before="360" w:after="283"/>
        <w:jc w:val="both"/>
        <w:rPr>
          <w:rFonts w:ascii="Arial" w:hAnsi="Arial"/>
          <w:b/>
          <w:i/>
          <w:color w:val="000000"/>
          <w:sz w:val="20"/>
        </w:rPr>
      </w:pPr>
      <w:r>
        <w:rPr>
          <w:rFonts w:ascii="Arial" w:hAnsi="Arial"/>
          <w:b/>
          <w:i/>
          <w:color w:val="000000"/>
          <w:sz w:val="20"/>
        </w:rPr>
        <w:t>Agreement with Gubra</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November 2023, the Company entered into a collaboration and development agreement with Gubra A/S, or Gubra, under which the Company and Gubra applied its streaMLine peptide discovery platform to identify peptide candidates in support of the Company's early-stage discovery and development activities. The Company refers to this agreement as the Gubra Agreement and to any product developed under the Gubra Agreement as a Gubra Collaboration Product. Under the Gubra Agreement, Gubra granted to the Company a non-exclusive, royalty-free, worldwide and sublicensable license under Gubra’s background intellectual property, as well as to any new intellectual property that was developed under the Gubra Agreement that related to Gubra’s platform, processes or know how and that was not specific to any Gubra Collaboration Product (which the Company refers to as Gubra Foreground IP), in each case, to develop, manufacture and commercialize any Gubra Collaboration Product. The Gubra Agreement provides that all intellectual property that was developed under the Gubra Agreement, other than Gubra Foreground IP, vests in and is owned by the Company, including all intellectual property specific to any Gubra Collaboration Product. The Company is solely responsible, at the Company's discretion and expense, for the development and commercialization of any Gubra Collaboration Product.</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Arial" w:hAnsi="Arial"/>
          <w:color w:val="000000"/>
          <w:sz w:val="20"/>
        </w:rPr>
        <w:t>In consideration for Gubra's discovery and development services, the Company paid Gubra a one-time upfront low single digit million Euro payment. The Company is further obligated to pay Gubra a one-time middle single digit million Euro milestone payment upon achievement by a Gubra Collaboration Product of a specified regulatory milestone event,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and a low single-digit percentage royalty on net sales of any Gubra Collaboration Product, on a product-by-product and country-by-country basis, until the later of ten years following the first commercial sale of such product in such country, the expiration of the last valid claim of specified patents covering such product in such country, and the expiration of regulatory exclusivity for such product in such country. In addition, if the Company enters into a license, business or asset sale or similar transaction relating to a Gubra Collaboration Product, the Company is obligated to pay Gubra a specified percentage of the associated income, which varies with the product's stage of development at the time of the transaction.</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Arial" w:hAnsi="Arial"/>
          <w:color w:val="000000"/>
          <w:sz w:val="20"/>
        </w:rPr>
        <w:t>The Gubra Agreement also contains customary termination and survival provisions.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Indemnification Agreements</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2026 and December 31, 2025.</w:t>
      </w:r>
    </w:p>
    <w:p>
      <w:pPr>
        <w:pStyle w:val="TextBody"/>
        <w:bidi w:val="0"/>
        <w:spacing w:before="360" w:after="283"/>
        <w:jc w:val="left"/>
        <w:rPr>
          <w:rFonts w:ascii="Arial" w:hAnsi="Arial"/>
          <w:b/>
          <w:i/>
          <w:color w:val="000000"/>
          <w:sz w:val="20"/>
        </w:rPr>
      </w:pPr>
      <w:r>
        <w:rPr>
          <w:rFonts w:ascii="Arial" w:hAnsi="Arial"/>
          <w:b/>
          <w:i/>
          <w:color w:val="000000"/>
          <w:sz w:val="20"/>
        </w:rPr>
        <w:t>Legal Proceedings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Company may, from time to time, be party to litigation arising in the ordinary course of business. The Company was not subject to any material legal proceedings during the six months ended June 30, 2026 and year ended December 31, 2025</w:t>
      </w:r>
      <w:r>
        <w:rPr>
          <w:rFonts w:ascii="Times New Roman" w:hAnsi="Times New Roman"/>
          <w:color w:val="000000"/>
          <w:sz w:val="20"/>
        </w:rPr>
        <w:t xml:space="preserve"> </w:t>
      </w:r>
      <w:r>
        <w:rPr>
          <w:rFonts w:ascii="Arial" w:hAnsi="Arial"/>
          <w:color w:val="000000"/>
          <w:sz w:val="20"/>
        </w:rPr>
        <w:t>and, to the best of its knowledge, no material legal proceedings are currently pending or threatened.</w:t>
      </w:r>
    </w:p>
    <w:p>
      <w:pPr>
        <w:pStyle w:val="TextBody"/>
        <w:bidi w:val="0"/>
        <w:spacing w:before="360" w:after="283"/>
        <w:jc w:val="left"/>
        <w:rPr>
          <w:rFonts w:ascii="Arial" w:hAnsi="Arial"/>
          <w:b/>
          <w:color w:val="000000"/>
          <w:sz w:val="20"/>
        </w:rPr>
      </w:pPr>
      <w:r>
        <w:rPr>
          <w:rFonts w:ascii="Arial" w:hAnsi="Arial"/>
          <w:b/>
          <w:color w:val="000000"/>
          <w:sz w:val="20"/>
        </w:rPr>
        <w:t>9. Convertible Preferred Stock and Convertible Preference Shares</w:t>
      </w:r>
    </w:p>
    <w:p>
      <w:pPr>
        <w:pStyle w:val="TextBody"/>
        <w:bidi w:val="0"/>
        <w:spacing w:before="120" w:after="283"/>
        <w:jc w:val="left"/>
        <w:rPr>
          <w:rFonts w:ascii="Arial" w:hAnsi="Arial"/>
          <w:b/>
          <w:i/>
          <w:color w:val="000000"/>
          <w:sz w:val="20"/>
        </w:rPr>
      </w:pPr>
      <w:r>
        <w:rPr>
          <w:rFonts w:ascii="Arial" w:hAnsi="Arial"/>
          <w:b/>
          <w:i/>
          <w:color w:val="000000"/>
          <w:sz w:val="20"/>
        </w:rPr>
        <w:t>Series Seed Convertible Preference Shares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November 2020, the Company executed an investment agreement under which it issued and sold 23,343</w:t>
      </w:r>
      <w:r>
        <w:rPr>
          <w:rFonts w:ascii="Times New Roman" w:hAnsi="Times New Roman"/>
          <w:color w:val="000000"/>
          <w:sz w:val="20"/>
        </w:rPr>
        <w:t xml:space="preserve"> </w:t>
      </w:r>
      <w:r>
        <w:rPr>
          <w:rFonts w:ascii="Arial" w:hAnsi="Arial"/>
          <w:color w:val="000000"/>
          <w:sz w:val="20"/>
        </w:rPr>
        <w:t>shares of Series Seed convertible preference shares (“Series Seed Convertible Preference Shares”) for gross cash proceeds of €2.5</w:t>
      </w:r>
      <w:r>
        <w:rPr>
          <w:rFonts w:ascii="Times New Roman" w:hAnsi="Times New Roman"/>
          <w:color w:val="000000"/>
          <w:sz w:val="20"/>
        </w:rPr>
        <w:t xml:space="preserve"> </w:t>
      </w:r>
      <w:r>
        <w:rPr>
          <w:rFonts w:ascii="Arial" w:hAnsi="Arial"/>
          <w:color w:val="000000"/>
          <w:sz w:val="20"/>
        </w:rPr>
        <w:t>million ($3.0</w:t>
      </w:r>
      <w:r>
        <w:rPr>
          <w:rFonts w:ascii="Times New Roman" w:hAnsi="Times New Roman"/>
          <w:color w:val="000000"/>
          <w:sz w:val="20"/>
        </w:rPr>
        <w:t xml:space="preserve"> </w:t>
      </w:r>
      <w:r>
        <w:rPr>
          <w:rFonts w:ascii="Arial" w:hAnsi="Arial"/>
          <w:color w:val="000000"/>
          <w:sz w:val="20"/>
        </w:rPr>
        <w:t>million).</w:t>
      </w:r>
    </w:p>
    <w:p>
      <w:pPr>
        <w:pStyle w:val="TextBody"/>
        <w:bidi w:val="0"/>
        <w:spacing w:before="360" w:after="283"/>
        <w:jc w:val="left"/>
        <w:rPr>
          <w:rFonts w:ascii="Arial" w:hAnsi="Arial"/>
          <w:b/>
          <w:i/>
          <w:color w:val="000000"/>
          <w:sz w:val="20"/>
        </w:rPr>
      </w:pPr>
      <w:r>
        <w:rPr>
          <w:rFonts w:ascii="Arial" w:hAnsi="Arial"/>
          <w:b/>
          <w:i/>
          <w:color w:val="000000"/>
          <w:sz w:val="20"/>
        </w:rPr>
        <w:t>Series A Convertible Preference Shares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July 2021, the Company executed an investment agreement (“Series A Investment Agreement”) to issue and sell up to 225,866</w:t>
      </w:r>
      <w:r>
        <w:rPr>
          <w:rFonts w:ascii="Times New Roman" w:hAnsi="Times New Roman"/>
          <w:color w:val="000000"/>
          <w:sz w:val="20"/>
        </w:rPr>
        <w:t xml:space="preserve"> </w:t>
      </w:r>
      <w:r>
        <w:rPr>
          <w:rFonts w:ascii="Arial" w:hAnsi="Arial"/>
          <w:color w:val="000000"/>
          <w:sz w:val="20"/>
        </w:rPr>
        <w:t>shares of Series A convertible preference shares (“Series A Convertible Preference Shares”) for gross proceeds of up to DKK 346.4</w:t>
      </w:r>
      <w:r>
        <w:rPr>
          <w:rFonts w:ascii="Times New Roman" w:hAnsi="Times New Roman"/>
          <w:color w:val="000000"/>
          <w:sz w:val="20"/>
        </w:rPr>
        <w:t xml:space="preserve"> </w:t>
      </w:r>
      <w:r>
        <w:rPr>
          <w:rFonts w:ascii="Arial" w:hAnsi="Arial"/>
          <w:color w:val="000000"/>
          <w:sz w:val="20"/>
        </w:rPr>
        <w:t>million ($50.9</w:t>
      </w:r>
      <w:r>
        <w:rPr>
          <w:rFonts w:ascii="Times New Roman" w:hAnsi="Times New Roman"/>
          <w:color w:val="000000"/>
          <w:sz w:val="20"/>
        </w:rPr>
        <w:t xml:space="preserve"> </w:t>
      </w:r>
      <w:r>
        <w:rPr>
          <w:rFonts w:ascii="Arial" w:hAnsi="Arial"/>
          <w:color w:val="000000"/>
          <w:sz w:val="20"/>
        </w:rPr>
        <w:t>million). In the initial closing in July 2021, the Company issued 61,600</w:t>
      </w:r>
      <w:r>
        <w:rPr>
          <w:rFonts w:ascii="Times New Roman" w:hAnsi="Times New Roman"/>
          <w:color w:val="000000"/>
          <w:sz w:val="20"/>
        </w:rPr>
        <w:t xml:space="preserve"> </w:t>
      </w:r>
      <w:r>
        <w:rPr>
          <w:rFonts w:ascii="Arial" w:hAnsi="Arial"/>
          <w:color w:val="000000"/>
          <w:sz w:val="20"/>
        </w:rPr>
        <w:t>shares of Series A Convertible Preference Shares. This included DKK 57.2</w:t>
      </w:r>
      <w:r>
        <w:rPr>
          <w:rFonts w:ascii="Times New Roman" w:hAnsi="Times New Roman"/>
          <w:color w:val="000000"/>
          <w:sz w:val="20"/>
        </w:rPr>
        <w:t xml:space="preserve"> </w:t>
      </w:r>
      <w:r>
        <w:rPr>
          <w:rFonts w:ascii="Arial" w:hAnsi="Arial"/>
          <w:color w:val="000000"/>
          <w:sz w:val="20"/>
        </w:rPr>
        <w:t>million ($9.0</w:t>
      </w:r>
      <w:r>
        <w:rPr>
          <w:rFonts w:ascii="Times New Roman" w:hAnsi="Times New Roman"/>
          <w:color w:val="000000"/>
          <w:sz w:val="20"/>
        </w:rPr>
        <w:t xml:space="preserve"> </w:t>
      </w:r>
      <w:r>
        <w:rPr>
          <w:rFonts w:ascii="Arial" w:hAnsi="Arial"/>
          <w:color w:val="000000"/>
          <w:sz w:val="20"/>
        </w:rPr>
        <w:t>million) in gross cash proceeds (37,297</w:t>
      </w:r>
      <w:r>
        <w:rPr>
          <w:rFonts w:ascii="Times New Roman" w:hAnsi="Times New Roman"/>
          <w:color w:val="000000"/>
          <w:sz w:val="20"/>
        </w:rPr>
        <w:t xml:space="preserve"> </w:t>
      </w:r>
      <w:r>
        <w:rPr>
          <w:rFonts w:ascii="Arial" w:hAnsi="Arial"/>
          <w:color w:val="000000"/>
          <w:sz w:val="20"/>
        </w:rPr>
        <w:t>shares) and DKK 37.3</w:t>
      </w:r>
      <w:r>
        <w:rPr>
          <w:rFonts w:ascii="Times New Roman" w:hAnsi="Times New Roman"/>
          <w:color w:val="000000"/>
          <w:sz w:val="20"/>
        </w:rPr>
        <w:t xml:space="preserve"> </w:t>
      </w:r>
      <w:r>
        <w:rPr>
          <w:rFonts w:ascii="Arial" w:hAnsi="Arial"/>
          <w:color w:val="000000"/>
          <w:sz w:val="20"/>
        </w:rPr>
        <w:t>million ($5.9</w:t>
      </w:r>
      <w:r>
        <w:rPr>
          <w:rFonts w:ascii="Times New Roman" w:hAnsi="Times New Roman"/>
          <w:color w:val="000000"/>
          <w:sz w:val="20"/>
        </w:rPr>
        <w:t xml:space="preserve"> </w:t>
      </w:r>
      <w:r>
        <w:rPr>
          <w:rFonts w:ascii="Arial" w:hAnsi="Arial"/>
          <w:color w:val="000000"/>
          <w:sz w:val="20"/>
        </w:rPr>
        <w:t>million) from the conversion of the principal and interest balance of debt (24,303</w:t>
      </w:r>
      <w:r>
        <w:rPr>
          <w:rFonts w:ascii="Times New Roman" w:hAnsi="Times New Roman"/>
          <w:color w:val="000000"/>
          <w:sz w:val="20"/>
        </w:rPr>
        <w:t xml:space="preserve"> </w:t>
      </w:r>
      <w:r>
        <w:rPr>
          <w:rFonts w:ascii="Arial" w:hAnsi="Arial"/>
          <w:color w:val="000000"/>
          <w:sz w:val="20"/>
        </w:rPr>
        <w:t>shares). Pursuant to the Series A Investment Agreement, the Company was obligated to issue and the investors were obligated to purchase an additional 164,266</w:t>
      </w:r>
      <w:r>
        <w:rPr>
          <w:rFonts w:ascii="Times New Roman" w:hAnsi="Times New Roman"/>
          <w:color w:val="000000"/>
          <w:sz w:val="20"/>
        </w:rPr>
        <w:t xml:space="preserve"> </w:t>
      </w:r>
      <w:r>
        <w:rPr>
          <w:rFonts w:ascii="Arial" w:hAnsi="Arial"/>
          <w:color w:val="000000"/>
          <w:sz w:val="20"/>
        </w:rPr>
        <w:t>shares of Series A Convertible Preference Shares for total cash proceeds of DKK 251.9</w:t>
      </w:r>
      <w:r>
        <w:rPr>
          <w:rFonts w:ascii="Times New Roman" w:hAnsi="Times New Roman"/>
          <w:color w:val="000000"/>
          <w:sz w:val="20"/>
        </w:rPr>
        <w:t xml:space="preserve"> </w:t>
      </w:r>
      <w:r>
        <w:rPr>
          <w:rFonts w:ascii="Arial" w:hAnsi="Arial"/>
          <w:color w:val="000000"/>
          <w:sz w:val="20"/>
        </w:rPr>
        <w:t>million ($36.0</w:t>
      </w:r>
      <w:r>
        <w:rPr>
          <w:rFonts w:ascii="Times New Roman" w:hAnsi="Times New Roman"/>
          <w:color w:val="000000"/>
          <w:sz w:val="20"/>
        </w:rPr>
        <w:t xml:space="preserve"> </w:t>
      </w:r>
      <w:r>
        <w:rPr>
          <w:rFonts w:ascii="Arial" w:hAnsi="Arial"/>
          <w:color w:val="000000"/>
          <w:sz w:val="20"/>
        </w:rPr>
        <w:t>million) in three separate closings upon the satisfaction of certain conditions related to clinical development. All of the conditions were achieved prior to February 2023. The Company incurred DKK 1.8</w:t>
      </w:r>
      <w:r>
        <w:rPr>
          <w:rFonts w:ascii="Times New Roman" w:hAnsi="Times New Roman"/>
          <w:color w:val="000000"/>
          <w:sz w:val="20"/>
        </w:rPr>
        <w:t xml:space="preserve"> </w:t>
      </w:r>
      <w:r>
        <w:rPr>
          <w:rFonts w:ascii="Arial" w:hAnsi="Arial"/>
          <w:color w:val="000000"/>
          <w:sz w:val="20"/>
        </w:rPr>
        <w:t>million ($0.3</w:t>
      </w:r>
      <w:r>
        <w:rPr>
          <w:rFonts w:ascii="Times New Roman" w:hAnsi="Times New Roman"/>
          <w:color w:val="000000"/>
          <w:sz w:val="20"/>
        </w:rPr>
        <w:t xml:space="preserve"> </w:t>
      </w:r>
      <w:r>
        <w:rPr>
          <w:rFonts w:ascii="Arial" w:hAnsi="Arial"/>
          <w:color w:val="000000"/>
          <w:sz w:val="20"/>
        </w:rPr>
        <w:t>million) of issuance costs.</w:t>
      </w:r>
    </w:p>
    <w:p>
      <w:pPr>
        <w:pStyle w:val="TextBody"/>
        <w:bidi w:val="0"/>
        <w:spacing w:before="360" w:after="283"/>
        <w:jc w:val="left"/>
        <w:rPr>
          <w:rFonts w:ascii="Arial" w:hAnsi="Arial"/>
          <w:b/>
          <w:i/>
          <w:color w:val="000000"/>
          <w:sz w:val="20"/>
        </w:rPr>
      </w:pPr>
      <w:r>
        <w:rPr>
          <w:rFonts w:ascii="Arial" w:hAnsi="Arial"/>
          <w:b/>
          <w:i/>
          <w:color w:val="000000"/>
          <w:sz w:val="20"/>
        </w:rPr>
        <w:t>Series B Convertible Preference Shares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February 2023, the Company executed an investment agreement under which it issued and sold 442,205</w:t>
      </w:r>
      <w:r>
        <w:rPr>
          <w:rFonts w:ascii="Times New Roman" w:hAnsi="Times New Roman"/>
          <w:color w:val="000000"/>
          <w:sz w:val="20"/>
        </w:rPr>
        <w:t xml:space="preserve"> </w:t>
      </w:r>
      <w:r>
        <w:rPr>
          <w:rFonts w:ascii="Arial" w:hAnsi="Arial"/>
          <w:color w:val="000000"/>
          <w:sz w:val="20"/>
        </w:rPr>
        <w:t>shares of Series B convertible preference shares (“Series B Convertible Preference Shares”) for gross cash proceeds of $135.2</w:t>
      </w:r>
      <w:r>
        <w:rPr>
          <w:rFonts w:ascii="Times New Roman" w:hAnsi="Times New Roman"/>
          <w:color w:val="000000"/>
          <w:sz w:val="20"/>
        </w:rPr>
        <w:t xml:space="preserve"> </w:t>
      </w:r>
      <w:r>
        <w:rPr>
          <w:rFonts w:ascii="Arial" w:hAnsi="Arial"/>
          <w:color w:val="000000"/>
          <w:sz w:val="20"/>
        </w:rPr>
        <w:t>million. The Company incurred $0.3</w:t>
      </w:r>
      <w:r>
        <w:rPr>
          <w:rFonts w:ascii="Times New Roman" w:hAnsi="Times New Roman"/>
          <w:color w:val="000000"/>
          <w:sz w:val="20"/>
        </w:rPr>
        <w:t xml:space="preserve"> </w:t>
      </w:r>
      <w:r>
        <w:rPr>
          <w:rFonts w:ascii="Arial" w:hAnsi="Arial"/>
          <w:color w:val="000000"/>
          <w:sz w:val="20"/>
        </w:rPr>
        <w:t>million of issuance costs.</w:t>
      </w:r>
    </w:p>
    <w:p>
      <w:pPr>
        <w:pStyle w:val="TextBody"/>
        <w:bidi w:val="0"/>
        <w:spacing w:before="360" w:after="283"/>
        <w:jc w:val="left"/>
        <w:rPr>
          <w:rFonts w:ascii="Arial" w:hAnsi="Arial"/>
          <w:b/>
          <w:i/>
          <w:color w:val="000000"/>
          <w:sz w:val="20"/>
        </w:rPr>
      </w:pPr>
      <w:r>
        <w:rPr>
          <w:rFonts w:ascii="Arial" w:hAnsi="Arial"/>
          <w:b/>
          <w:i/>
          <w:color w:val="000000"/>
          <w:sz w:val="20"/>
        </w:rPr>
        <w:t>Series C Convertible Preference Shares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October 2025, the Company executed an investment agreement under which it issued and sold 512,991</w:t>
      </w:r>
      <w:r>
        <w:rPr>
          <w:rFonts w:ascii="Times New Roman" w:hAnsi="Times New Roman"/>
          <w:color w:val="000000"/>
          <w:sz w:val="20"/>
        </w:rPr>
        <w:t xml:space="preserve"> </w:t>
      </w:r>
      <w:r>
        <w:rPr>
          <w:rFonts w:ascii="Arial" w:hAnsi="Arial"/>
          <w:color w:val="000000"/>
          <w:sz w:val="20"/>
        </w:rPr>
        <w:t>shares of Series C convertible preference shares (“Series C Convertible Preference Shares”) for gross cash proceeds of $156.9</w:t>
      </w:r>
      <w:r>
        <w:rPr>
          <w:rFonts w:ascii="Times New Roman" w:hAnsi="Times New Roman"/>
          <w:color w:val="000000"/>
          <w:sz w:val="20"/>
        </w:rPr>
        <w:t xml:space="preserve"> </w:t>
      </w:r>
      <w:r>
        <w:rPr>
          <w:rFonts w:ascii="Arial" w:hAnsi="Arial"/>
          <w:color w:val="000000"/>
          <w:sz w:val="20"/>
        </w:rPr>
        <w:t>million. The Company incurred $0.5</w:t>
      </w:r>
      <w:r>
        <w:rPr>
          <w:rFonts w:ascii="Times New Roman" w:hAnsi="Times New Roman"/>
          <w:color w:val="000000"/>
          <w:sz w:val="20"/>
        </w:rPr>
        <w:t xml:space="preserve"> </w:t>
      </w:r>
      <w:r>
        <w:rPr>
          <w:rFonts w:ascii="Arial" w:hAnsi="Arial"/>
          <w:color w:val="000000"/>
          <w:sz w:val="20"/>
        </w:rPr>
        <w:t>million of issuance costs.</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connection with the corporate reorganization, the shareholders of Hemab ApS exchanged their convertible preference shares of Hemab ApS for the same number, class and series of newly issued shares of convertible preferred stock, on a one-for-one basis, in Hemab Therapeutics Holdings, Inc.</w:t>
      </w:r>
    </w:p>
    <w:p>
      <w:pPr>
        <w:pStyle w:val="TextBody"/>
        <w:bidi w:val="0"/>
        <w:spacing w:before="240" w:after="283"/>
        <w:ind w:left="0" w:right="0" w:firstLine="720"/>
        <w:jc w:val="left"/>
        <w:rPr>
          <w:rFonts w:ascii="Arial" w:hAnsi="Arial"/>
          <w:color w:val="000000"/>
          <w:sz w:val="20"/>
        </w:rPr>
      </w:pPr>
      <w:r>
        <w:rPr>
          <w:rFonts w:ascii="Arial" w:hAnsi="Arial"/>
          <w:color w:val="000000"/>
          <w:sz w:val="20"/>
        </w:rPr>
        <w:t>As of December 31, 2025, the convertible preferred stock and convertible preference shares consisted of the following (in thousands, except share data):</w:t>
      </w:r>
    </w:p>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1186"/>
        <w:gridCol w:w="426"/>
        <w:gridCol w:w="146"/>
        <w:gridCol w:w="961"/>
        <w:gridCol w:w="146"/>
        <w:gridCol w:w="146"/>
        <w:gridCol w:w="146"/>
        <w:gridCol w:w="965"/>
        <w:gridCol w:w="146"/>
        <w:gridCol w:w="146"/>
        <w:gridCol w:w="211"/>
        <w:gridCol w:w="796"/>
        <w:gridCol w:w="146"/>
        <w:gridCol w:w="146"/>
        <w:gridCol w:w="213"/>
        <w:gridCol w:w="808"/>
        <w:gridCol w:w="146"/>
        <w:gridCol w:w="146"/>
        <w:gridCol w:w="146"/>
        <w:gridCol w:w="1066"/>
        <w:gridCol w:w="191"/>
      </w:tblGrid>
      <w:tr>
        <w:trPr/>
        <w:tc>
          <w:tcPr>
            <w:tcW w:w="11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Preference</w:t>
              <w:b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Preference</w:t>
              <w:br/>
              <w:t>Shares</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Ordinary</w:t>
              <w:br/>
              <w:t>Shares</w:t>
              <w:br/>
              <w:t>Issuable</w:t>
              <w:br/>
              <w:t>Upon</w:t>
              <w:br/>
              <w:t>Conversion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Seed</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513,546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Series A</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4,969,052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Series B</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9,728,510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Series C</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11,285,802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349,613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26,496,910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720"/>
        <w:jc w:val="left"/>
        <w:rPr>
          <w:rFonts w:ascii="Times New Roman" w:hAnsi="Times New Roman"/>
          <w:sz w:val="20"/>
        </w:rPr>
      </w:pPr>
      <w:r>
        <w:rPr>
          <w:rFonts w:ascii="Arial" w:hAnsi="Arial"/>
          <w:color w:val="000000"/>
          <w:sz w:val="20"/>
        </w:rPr>
        <w:t>On May 4, 2026, the Company completed the IPO of 19,262,500</w:t>
      </w:r>
      <w:r>
        <w:rPr>
          <w:rFonts w:ascii="Times New Roman" w:hAnsi="Times New Roman"/>
          <w:color w:val="000000"/>
          <w:sz w:val="20"/>
        </w:rPr>
        <w:t xml:space="preserve"> </w:t>
      </w:r>
      <w:r>
        <w:rPr>
          <w:rFonts w:ascii="Arial" w:hAnsi="Arial"/>
          <w:color w:val="000000"/>
          <w:sz w:val="20"/>
        </w:rPr>
        <w:t>shares of its common stock for gross proceeds of approximately $346.7</w:t>
      </w:r>
      <w:r>
        <w:rPr>
          <w:rFonts w:ascii="Times New Roman" w:hAnsi="Times New Roman"/>
          <w:color w:val="000000"/>
          <w:sz w:val="20"/>
        </w:rPr>
        <w:t xml:space="preserve"> </w:t>
      </w:r>
      <w:r>
        <w:rPr>
          <w:rFonts w:ascii="Arial" w:hAnsi="Arial"/>
          <w:color w:val="000000"/>
          <w:sz w:val="20"/>
        </w:rPr>
        <w:t>million before deducting underwriting discounts and commissions and estimated offering expenses payable by the Company. In connection with the completion of the IPO, all of the Company's convertible preferred stock converted into 26,496,910</w:t>
      </w:r>
      <w:r>
        <w:rPr>
          <w:rFonts w:ascii="Times New Roman" w:hAnsi="Times New Roman"/>
          <w:color w:val="000000"/>
          <w:sz w:val="20"/>
        </w:rPr>
        <w:t xml:space="preserve"> </w:t>
      </w:r>
      <w:r>
        <w:rPr>
          <w:rFonts w:ascii="Arial" w:hAnsi="Arial"/>
          <w:color w:val="000000"/>
          <w:sz w:val="20"/>
        </w:rPr>
        <w:t>shares of common stock, and no</w:t>
      </w:r>
      <w:r>
        <w:rPr>
          <w:rFonts w:ascii="Times New Roman" w:hAnsi="Times New Roman"/>
          <w:color w:val="000000"/>
          <w:sz w:val="20"/>
        </w:rPr>
        <w:t xml:space="preserve"> </w:t>
      </w:r>
      <w:r>
        <w:rPr>
          <w:rFonts w:ascii="Arial" w:hAnsi="Arial"/>
          <w:color w:val="000000"/>
          <w:sz w:val="20"/>
        </w:rPr>
        <w:t>shares of preferred stock were outstanding.</w:t>
      </w:r>
    </w:p>
    <w:p>
      <w:pPr>
        <w:pStyle w:val="TextBody"/>
        <w:bidi w:val="0"/>
        <w:spacing w:before="360" w:after="283"/>
        <w:jc w:val="left"/>
        <w:rPr>
          <w:rFonts w:ascii="Arial" w:hAnsi="Arial"/>
          <w:b/>
          <w:color w:val="000000"/>
          <w:sz w:val="20"/>
        </w:rPr>
      </w:pPr>
      <w:r>
        <w:rPr>
          <w:rFonts w:ascii="Arial" w:hAnsi="Arial"/>
          <w:b/>
          <w:color w:val="000000"/>
          <w:sz w:val="20"/>
        </w:rPr>
        <w:t>10. Common Stock</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As of June 30, 2026, the Company had 400,000,000</w:t>
      </w:r>
      <w:r>
        <w:rPr>
          <w:rFonts w:ascii="Times New Roman" w:hAnsi="Times New Roman"/>
          <w:color w:val="000000"/>
          <w:sz w:val="20"/>
        </w:rPr>
        <w:t xml:space="preserve"> </w:t>
      </w:r>
      <w:r>
        <w:rPr>
          <w:rFonts w:ascii="Arial" w:hAnsi="Arial"/>
          <w:color w:val="000000"/>
          <w:sz w:val="20"/>
        </w:rPr>
        <w:t>shares of common stock authorized for issuance, and 46,705,410</w:t>
      </w:r>
      <w:r>
        <w:rPr>
          <w:rFonts w:ascii="Times New Roman" w:hAnsi="Times New Roman"/>
          <w:color w:val="000000"/>
          <w:sz w:val="20"/>
        </w:rPr>
        <w:t xml:space="preserve"> </w:t>
      </w:r>
      <w:r>
        <w:rPr>
          <w:rFonts w:ascii="Arial" w:hAnsi="Arial"/>
          <w:color w:val="000000"/>
          <w:sz w:val="20"/>
        </w:rPr>
        <w:t>shares of common stock issued and outstanding.</w:t>
      </w:r>
    </w:p>
    <w:p>
      <w:pPr>
        <w:pStyle w:val="TextBody"/>
        <w:bidi w:val="0"/>
        <w:spacing w:before="240" w:after="283"/>
        <w:ind w:left="0" w:right="0" w:firstLine="720"/>
        <w:jc w:val="left"/>
        <w:rPr>
          <w:rFonts w:ascii="Arial" w:hAnsi="Arial"/>
          <w:color w:val="000000"/>
          <w:sz w:val="20"/>
        </w:rPr>
      </w:pPr>
      <w:r>
        <w:rPr>
          <w:rFonts w:ascii="Arial" w:hAnsi="Arial"/>
          <w:color w:val="000000"/>
          <w:sz w:val="20"/>
        </w:rPr>
        <w:t>Prior to the closing of the IPO, the holders of shares of common stock and ordinary shares were entitled to an allocation and distribution of proceeds upon the occurrence of certain liquidity events subject to the amounts the holders of convertible preferred stock would have been entitled to be paid out (the “Liquidation Amount”). When the Liquidation Amount had been paid in full, any remaining proceeds would have been distributed to the holders of common stock or ordinary shares, as applicable, on a pro rata basis.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 holders of common stock are entitled to one vote per share held on all matters submitted to a vote of stockholders, except on matters relating solely to terms of preferred stock.</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On May 4, 2026, the Company completed the IPO of 19,262,500</w:t>
      </w:r>
      <w:r>
        <w:rPr>
          <w:rFonts w:ascii="Times New Roman" w:hAnsi="Times New Roman"/>
          <w:color w:val="000000"/>
          <w:sz w:val="20"/>
        </w:rPr>
        <w:t xml:space="preserve"> </w:t>
      </w:r>
      <w:r>
        <w:rPr>
          <w:rFonts w:ascii="Arial" w:hAnsi="Arial"/>
          <w:color w:val="000000"/>
          <w:sz w:val="20"/>
        </w:rPr>
        <w:t>shares of its common stock. See Note 1, “</w:t>
      </w:r>
      <w:r>
        <w:rPr>
          <w:rFonts w:ascii="Arial" w:hAnsi="Arial"/>
          <w:i/>
          <w:color w:val="000000"/>
          <w:sz w:val="20"/>
        </w:rPr>
        <w:t>Description of Business and Liquidity</w:t>
      </w:r>
      <w:r>
        <w:rPr>
          <w:rFonts w:ascii="Times New Roman" w:hAnsi="Times New Roman"/>
          <w:color w:val="000000"/>
          <w:sz w:val="20"/>
        </w:rPr>
        <w:t>”</w:t>
      </w:r>
      <w:r>
        <w:rPr>
          <w:rFonts w:ascii="Arial" w:hAnsi="Arial"/>
          <w:color w:val="000000"/>
          <w:sz w:val="20"/>
        </w:rPr>
        <w:t>, for additional information.</w:t>
      </w:r>
    </w:p>
    <w:p>
      <w:pPr>
        <w:pStyle w:val="TextBody"/>
        <w:bidi w:val="0"/>
        <w:spacing w:before="360" w:after="283"/>
        <w:jc w:val="left"/>
        <w:rPr>
          <w:rFonts w:ascii="Arial" w:hAnsi="Arial"/>
          <w:b/>
          <w:color w:val="000000"/>
          <w:sz w:val="20"/>
        </w:rPr>
      </w:pPr>
      <w:r>
        <w:rPr>
          <w:rFonts w:ascii="Arial" w:hAnsi="Arial"/>
          <w:b/>
          <w:color w:val="000000"/>
          <w:sz w:val="20"/>
        </w:rPr>
        <w:t>11. Equity-Based Compensation</w:t>
      </w:r>
    </w:p>
    <w:p>
      <w:pPr>
        <w:pStyle w:val="TextBody"/>
        <w:bidi w:val="0"/>
        <w:spacing w:before="120" w:after="283"/>
        <w:jc w:val="left"/>
        <w:rPr>
          <w:rFonts w:ascii="Arial" w:hAnsi="Arial"/>
          <w:b/>
          <w:i/>
          <w:color w:val="000000"/>
          <w:sz w:val="20"/>
        </w:rPr>
      </w:pPr>
      <w:r>
        <w:rPr>
          <w:rFonts w:ascii="Arial" w:hAnsi="Arial"/>
          <w:b/>
          <w:i/>
          <w:color w:val="000000"/>
          <w:sz w:val="20"/>
        </w:rPr>
        <w:t>Individual Warrant Agreements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Prior to the IPO, the Company issued equity-based compensation in the form of warrants. As of June 30, 2026, the Company had 4,341,568</w:t>
      </w:r>
      <w:r>
        <w:rPr>
          <w:rFonts w:ascii="Times New Roman" w:hAnsi="Times New Roman"/>
          <w:color w:val="000000"/>
          <w:sz w:val="20"/>
        </w:rPr>
        <w:t xml:space="preserve"> </w:t>
      </w:r>
      <w:r>
        <w:rPr>
          <w:rFonts w:ascii="Arial" w:hAnsi="Arial"/>
          <w:color w:val="000000"/>
          <w:sz w:val="20"/>
        </w:rPr>
        <w:t>warrant grants outstanding. Each vested warrant entitles the warrant holder the right to subscribe for one share of common stock. Holders of stock warrants are entitled to exercise the vested portion of the warrant. The service-based warrant grants generally vest over a four-year service period, with the first 25% vesting on the one-year anniversary of the vesting start date and the remaining vesting in equal monthly installments over the following 36 months.</w:t>
      </w:r>
      <w:r>
        <w:rPr>
          <w:rFonts w:ascii="Times New Roman" w:hAnsi="Times New Roman"/>
          <w:color w:val="000000"/>
          <w:sz w:val="20"/>
        </w:rPr>
        <w:t xml:space="preserve"> </w:t>
      </w:r>
      <w:r>
        <w:rPr>
          <w:rFonts w:ascii="Arial" w:hAnsi="Arial"/>
          <w:color w:val="000000"/>
          <w:sz w:val="20"/>
        </w:rPr>
        <w:t>The service-based and performance-based warrant grants vest in the same manner as the service-based only awards to the extent the performance condition is met. The Company’s warrants expire ten years</w:t>
      </w:r>
      <w:r>
        <w:rPr>
          <w:rFonts w:ascii="Times New Roman" w:hAnsi="Times New Roman"/>
          <w:color w:val="000000"/>
          <w:sz w:val="20"/>
        </w:rPr>
        <w:t xml:space="preserve"> </w:t>
      </w:r>
      <w:r>
        <w:rPr>
          <w:rFonts w:ascii="Arial" w:hAnsi="Arial"/>
          <w:color w:val="000000"/>
          <w:sz w:val="20"/>
        </w:rPr>
        <w:t>after the initial grant date if they remain unexercised. Upon the exercise date, the Company issues new shares of common stock to the participant. No additional awards are expected to be granted under Individual Warrant Agreements following the IPO.</w:t>
      </w:r>
    </w:p>
    <w:p>
      <w:pPr>
        <w:pStyle w:val="TextBody"/>
        <w:bidi w:val="0"/>
        <w:spacing w:before="120" w:after="283"/>
        <w:ind w:left="0" w:right="0" w:firstLine="720"/>
        <w:jc w:val="left"/>
        <w:rPr>
          <w:rFonts w:ascii="Arial" w:hAnsi="Arial"/>
          <w:color w:val="000000"/>
          <w:sz w:val="20"/>
        </w:rPr>
      </w:pPr>
      <w:r>
        <w:rPr>
          <w:rFonts w:ascii="Arial" w:hAnsi="Arial"/>
          <w:color w:val="000000"/>
          <w:sz w:val="20"/>
        </w:rPr>
        <w:t>The following table summarizes the Company’s warrant activity for the six months ended June 30, 2026:</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062" w:type="dxa"/>
        <w:jc w:val="left"/>
        <w:tblInd w:w="0" w:type="dxa"/>
        <w:tblLayout w:type="fixed"/>
        <w:tblCellMar>
          <w:top w:w="28" w:type="dxa"/>
          <w:left w:w="28" w:type="dxa"/>
          <w:bottom w:w="28" w:type="dxa"/>
          <w:right w:w="28" w:type="dxa"/>
        </w:tblCellMar>
      </w:tblPr>
      <w:tblGrid>
        <w:gridCol w:w="3976"/>
        <w:gridCol w:w="146"/>
        <w:gridCol w:w="146"/>
        <w:gridCol w:w="961"/>
        <w:gridCol w:w="166"/>
        <w:gridCol w:w="146"/>
        <w:gridCol w:w="361"/>
        <w:gridCol w:w="824"/>
        <w:gridCol w:w="146"/>
        <w:gridCol w:w="146"/>
        <w:gridCol w:w="281"/>
        <w:gridCol w:w="725"/>
        <w:gridCol w:w="146"/>
        <w:gridCol w:w="146"/>
        <w:gridCol w:w="267"/>
        <w:gridCol w:w="1008"/>
        <w:gridCol w:w="47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 thousands)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2,101,352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2,294,798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4,341,568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134,142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1,684,826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53,040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expected to vest,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134,142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720"/>
        <w:jc w:val="left"/>
        <w:rPr>
          <w:rFonts w:ascii="Times New Roman" w:hAnsi="Times New Roman"/>
          <w:sz w:val="20"/>
        </w:rPr>
      </w:pPr>
      <w:r>
        <w:rPr>
          <w:rFonts w:ascii="Arial" w:hAnsi="Arial"/>
          <w:color w:val="000000"/>
          <w:sz w:val="20"/>
        </w:rPr>
        <w:t>The weighted-average grant date fair value of the shares underlying the warrants granted was $7.40</w:t>
      </w:r>
      <w:r>
        <w:rPr>
          <w:rFonts w:ascii="Times New Roman" w:hAnsi="Times New Roman"/>
          <w:color w:val="000000"/>
          <w:sz w:val="20"/>
        </w:rPr>
        <w:t xml:space="preserve"> </w:t>
      </w:r>
      <w:r>
        <w:rPr>
          <w:rFonts w:ascii="Arial" w:hAnsi="Arial"/>
          <w:color w:val="000000"/>
          <w:sz w:val="20"/>
        </w:rPr>
        <w:t>per share during the six months ended June 30, 2026. There were no</w:t>
      </w:r>
      <w:r>
        <w:rPr>
          <w:rFonts w:ascii="Times New Roman" w:hAnsi="Times New Roman"/>
          <w:color w:val="000000"/>
          <w:sz w:val="20"/>
        </w:rPr>
        <w:t xml:space="preserve"> </w:t>
      </w:r>
      <w:r>
        <w:rPr>
          <w:rFonts w:ascii="Arial" w:hAnsi="Arial"/>
          <w:color w:val="000000"/>
          <w:sz w:val="20"/>
        </w:rPr>
        <w:t>warrants granted during the three months ended June 30, 2026. The total grant date fair value of the shares underlying the warrants that vested during the three and six months ended June 30, 2026 was $0.7</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20" w:after="283"/>
        <w:jc w:val="left"/>
        <w:rPr>
          <w:rFonts w:ascii="Arial" w:hAnsi="Arial"/>
          <w:b/>
          <w:i/>
          <w:color w:val="000000"/>
          <w:sz w:val="20"/>
        </w:rPr>
      </w:pPr>
      <w:r>
        <w:rPr>
          <w:rFonts w:ascii="Arial" w:hAnsi="Arial"/>
          <w:b/>
          <w:i/>
          <w:color w:val="000000"/>
          <w:sz w:val="20"/>
        </w:rPr>
        <w:t>2026 Equity Incentive Plan</w:t>
      </w:r>
    </w:p>
    <w:p>
      <w:pPr>
        <w:pStyle w:val="TextBody"/>
        <w:bidi w:val="0"/>
        <w:spacing w:before="240" w:after="283"/>
        <w:ind w:left="0" w:right="0" w:firstLine="720"/>
        <w:jc w:val="left"/>
        <w:rPr>
          <w:rFonts w:ascii="Times New Roman" w:hAnsi="Times New Roman"/>
          <w:sz w:val="20"/>
        </w:rPr>
      </w:pPr>
      <w:r>
        <w:rPr>
          <w:rFonts w:ascii="Arial" w:hAnsi="Arial"/>
          <w:color w:val="222222"/>
          <w:sz w:val="20"/>
        </w:rPr>
        <w:t>In April 2026, the Company’s board of directors adopted and the Company’s stockholders approved the 2026 Plan which became effective immediately prior to the effectiveness of the registration statement for the IPO. The 2026 Plan initially provides for the grant of awards with respect to 4,180,000 shares of common stock, which is subject to an annual increase, to be added on the first day of each fiscal year, beginning with the fiscal year ending December 31, 2027 and continuing until, and including, the fiscal year ending December 31, 2036, equal to the lower of (i) 5% of the sum of (I) the number of shares of common stock outstanding on such date and (II) the number of shares of common stock subject to pre-funded warrants or other investment warrants issued by the Company (without giving effect to any restrictions or limitations on conversion) as of such date, and (ii) an amount determined by the Company’s board of directors. A maximum of 11,000,000 shares of common stock may be issued pursuant to incentive stock options granted under the 2026 Plan.</w:t>
      </w:r>
      <w:r>
        <w:rPr>
          <w:rFonts w:ascii="Times New Roman" w:hAnsi="Times New Roman"/>
          <w:color w:val="222222"/>
          <w:sz w:val="20"/>
        </w:rPr>
        <w:t xml:space="preserve"> </w:t>
      </w:r>
      <w:r>
        <w:rPr>
          <w:rFonts w:ascii="Arial" w:hAnsi="Arial"/>
          <w:color w:val="222222"/>
          <w:sz w:val="20"/>
        </w:rPr>
        <w:t>The 2026 Plan provides for the grant of incentive stock options, non-qualified stock options, restricted stock, restricted stock units, stock appreciation rights and other stock-based, cash-based, and performance-based awards. The Company’s employees, officers, directors and consultants and advisors are eligible to receive awards under the 2026 Plan. Options to purchase common stock may be granted at a price not less than the fair market value as established by the Company’s board of directors in the case of both NSOs and ISOs. Stock option grants under the 2026 Plan generally vest over four years. The Company’s options expire ten years</w:t>
      </w:r>
      <w:r>
        <w:rPr>
          <w:rFonts w:ascii="Times New Roman" w:hAnsi="Times New Roman"/>
          <w:color w:val="222222"/>
          <w:sz w:val="20"/>
        </w:rPr>
        <w:t xml:space="preserve"> </w:t>
      </w:r>
      <w:r>
        <w:rPr>
          <w:rFonts w:ascii="Arial" w:hAnsi="Arial"/>
          <w:color w:val="222222"/>
          <w:sz w:val="20"/>
        </w:rPr>
        <w:t xml:space="preserve">after the initial grant date if they remain unexercised. Upon the exercise date, the Company issues new shares of common stock to the participant. Only stock options have been awarded under the 2026 Plan </w:t>
      </w:r>
      <w:r>
        <w:rPr>
          <w:rFonts w:ascii="Arial" w:hAnsi="Arial"/>
          <w:color w:val="000000"/>
          <w:sz w:val="20"/>
        </w:rPr>
        <w:t>during the six months ended June 30, 2026. As of June 30, 2026, 306,900</w:t>
      </w:r>
      <w:r>
        <w:rPr>
          <w:rFonts w:ascii="Times New Roman" w:hAnsi="Times New Roman"/>
          <w:color w:val="000000"/>
          <w:sz w:val="20"/>
        </w:rPr>
        <w:t xml:space="preserve"> </w:t>
      </w:r>
      <w:r>
        <w:rPr>
          <w:rFonts w:ascii="Arial" w:hAnsi="Arial"/>
          <w:color w:val="000000"/>
          <w:sz w:val="20"/>
        </w:rPr>
        <w:t>options were outstanding under the 2026 Plan and 3,873,100</w:t>
      </w:r>
      <w:r>
        <w:rPr>
          <w:rFonts w:ascii="Times New Roman" w:hAnsi="Times New Roman"/>
          <w:color w:val="000000"/>
          <w:sz w:val="20"/>
        </w:rPr>
        <w:t xml:space="preserve"> </w:t>
      </w:r>
      <w:r>
        <w:rPr>
          <w:rFonts w:ascii="Arial" w:hAnsi="Arial"/>
          <w:color w:val="000000"/>
          <w:sz w:val="20"/>
        </w:rPr>
        <w:t>shares were available for future grant under the 2026 Plan.</w:t>
      </w:r>
    </w:p>
    <w:p>
      <w:pPr>
        <w:pStyle w:val="TextBody"/>
        <w:bidi w:val="0"/>
        <w:spacing w:before="120" w:after="283"/>
        <w:ind w:left="720" w:right="0" w:hanging="0"/>
        <w:jc w:val="left"/>
        <w:rPr>
          <w:rFonts w:ascii="Arial" w:hAnsi="Arial"/>
          <w:b/>
          <w:i/>
          <w:color w:val="000000"/>
          <w:sz w:val="20"/>
        </w:rPr>
      </w:pPr>
      <w:r>
        <w:rPr>
          <w:rFonts w:ascii="Arial" w:hAnsi="Arial"/>
          <w:b/>
          <w:i/>
          <w:color w:val="000000"/>
          <w:sz w:val="20"/>
        </w:rPr>
        <w:t>Stock Options</w:t>
      </w:r>
    </w:p>
    <w:p>
      <w:pPr>
        <w:pStyle w:val="TextBody"/>
        <w:bidi w:val="0"/>
        <w:jc w:val="left"/>
        <w:rPr/>
      </w:pPr>
      <w:r>
        <w:rPr/>
        <w:t> </w:t>
      </w:r>
    </w:p>
    <w:p>
      <w:pPr>
        <w:pStyle w:val="TextBody"/>
        <w:bidi w:val="0"/>
        <w:ind w:left="0" w:right="0" w:firstLine="720"/>
        <w:jc w:val="left"/>
        <w:rPr>
          <w:rFonts w:ascii="Arial" w:hAnsi="Arial"/>
          <w:color w:val="000000"/>
          <w:sz w:val="20"/>
        </w:rPr>
      </w:pPr>
      <w:r>
        <w:rPr>
          <w:rFonts w:ascii="Arial" w:hAnsi="Arial"/>
          <w:color w:val="000000"/>
          <w:sz w:val="20"/>
        </w:rPr>
        <w:t>The following table summarizes the Company’s option activity for the six months ended June 30, 2026:</w:t>
      </w:r>
    </w:p>
    <w:p>
      <w:pPr>
        <w:pStyle w:val="TextBody"/>
        <w:bidi w:val="0"/>
        <w:jc w:val="left"/>
        <w:rPr/>
      </w:pPr>
      <w:r>
        <w:rPr/>
        <w:t> </w:t>
      </w:r>
    </w:p>
    <w:tbl>
      <w:tblPr>
        <w:tblW w:w="9880" w:type="dxa"/>
        <w:jc w:val="left"/>
        <w:tblInd w:w="0" w:type="dxa"/>
        <w:tblLayout w:type="fixed"/>
        <w:tblCellMar>
          <w:top w:w="28" w:type="dxa"/>
          <w:left w:w="28" w:type="dxa"/>
          <w:bottom w:w="28" w:type="dxa"/>
          <w:right w:w="28" w:type="dxa"/>
        </w:tblCellMar>
      </w:tblPr>
      <w:tblGrid>
        <w:gridCol w:w="3976"/>
        <w:gridCol w:w="146"/>
        <w:gridCol w:w="146"/>
        <w:gridCol w:w="799"/>
        <w:gridCol w:w="146"/>
        <w:gridCol w:w="146"/>
        <w:gridCol w:w="313"/>
        <w:gridCol w:w="872"/>
        <w:gridCol w:w="146"/>
        <w:gridCol w:w="146"/>
        <w:gridCol w:w="234"/>
        <w:gridCol w:w="772"/>
        <w:gridCol w:w="146"/>
        <w:gridCol w:w="146"/>
        <w:gridCol w:w="337"/>
        <w:gridCol w:w="938"/>
        <w:gridCol w:w="47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 thousands)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expected to vest,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Arial" w:hAnsi="Arial"/>
          <w:color w:val="000000"/>
          <w:sz w:val="20"/>
        </w:rPr>
        <w:t>The weighted-average grant date fair value of the shares underlying the options granted was $28.47</w:t>
      </w:r>
      <w:r>
        <w:rPr>
          <w:rFonts w:ascii="Times New Roman" w:hAnsi="Times New Roman"/>
          <w:color w:val="000000"/>
          <w:sz w:val="20"/>
        </w:rPr>
        <w:t xml:space="preserve"> </w:t>
      </w:r>
      <w:r>
        <w:rPr>
          <w:rFonts w:ascii="Arial" w:hAnsi="Arial"/>
          <w:color w:val="000000"/>
          <w:sz w:val="20"/>
        </w:rPr>
        <w:t>per share during each of the three and six months ended June 30, 2026. The total grant date fair value of the shares underlying the options that vested was $0.1</w:t>
      </w:r>
      <w:r>
        <w:rPr>
          <w:rFonts w:ascii="Times New Roman" w:hAnsi="Times New Roman"/>
          <w:color w:val="000000"/>
          <w:sz w:val="20"/>
        </w:rPr>
        <w:t xml:space="preserve"> </w:t>
      </w:r>
      <w:r>
        <w:rPr>
          <w:rFonts w:ascii="Arial" w:hAnsi="Arial"/>
          <w:color w:val="000000"/>
          <w:sz w:val="20"/>
        </w:rPr>
        <w:t>million during each of the three and six months ended June 30, 2026.</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Black Scholes Assumptions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 following assumptions were used in determining the fair value of options and warrants granted during the six months ended June 30, 2026:</w:t>
      </w:r>
    </w:p>
    <w:p>
      <w:pPr>
        <w:pStyle w:val="TextBody"/>
        <w:bidi w:val="0"/>
        <w:spacing w:before="240" w:after="283"/>
        <w:jc w:val="left"/>
        <w:rPr/>
      </w:pPr>
      <w:r>
        <w:rPr/>
        <w:t> </w:t>
      </w:r>
    </w:p>
    <w:tbl>
      <w:tblPr>
        <w:tblW w:w="5113" w:type="dxa"/>
        <w:jc w:val="left"/>
        <w:tblInd w:w="0" w:type="dxa"/>
        <w:tblLayout w:type="fixed"/>
        <w:tblCellMar>
          <w:top w:w="28" w:type="dxa"/>
          <w:left w:w="28" w:type="dxa"/>
          <w:bottom w:w="28" w:type="dxa"/>
          <w:right w:w="28" w:type="dxa"/>
        </w:tblCellMar>
      </w:tblPr>
      <w:tblGrid>
        <w:gridCol w:w="2266"/>
        <w:gridCol w:w="146"/>
        <w:gridCol w:w="270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2026</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89.0% - 91.2%</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3.8% - 4.1%</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5.8</w:t>
            </w:r>
            <w:r>
              <w:rPr>
                <w:rFonts w:ascii="Times New Roman" w:hAnsi="Times New Roman"/>
                <w:color w:val="000000"/>
                <w:sz w:val="20"/>
              </w:rPr>
              <w:t> </w:t>
            </w:r>
            <w:r>
              <w:rPr>
                <w:rFonts w:ascii="Arial" w:hAnsi="Arial"/>
                <w:color w:val="000000"/>
                <w:sz w:val="20"/>
              </w:rPr>
              <w:t>- 6.2</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w:t>
            </w:r>
          </w:p>
        </w:tc>
      </w:tr>
    </w:tbl>
    <w:p>
      <w:pPr>
        <w:pStyle w:val="TextBody"/>
        <w:bidi w:val="0"/>
        <w:spacing w:before="360" w:after="283"/>
        <w:jc w:val="left"/>
        <w:rPr>
          <w:rFonts w:ascii="Arial" w:hAnsi="Arial"/>
          <w:b/>
          <w:i/>
          <w:color w:val="000000"/>
          <w:sz w:val="20"/>
        </w:rPr>
      </w:pPr>
      <w:r>
        <w:rPr>
          <w:rFonts w:ascii="Arial" w:hAnsi="Arial"/>
          <w:b/>
          <w:i/>
          <w:color w:val="000000"/>
          <w:sz w:val="20"/>
        </w:rPr>
        <w:t>Performance-Based Warrants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During 2022, the Company issued warrants to certain employees that included two components: (i) a performance condition that is achieved upon the separate closings of the Series A Convertible Preferred Shares, and (ii) a service condition where the employee provides service over a four-year</w:t>
      </w:r>
      <w:r>
        <w:rPr>
          <w:rFonts w:ascii="Times New Roman" w:hAnsi="Times New Roman"/>
          <w:color w:val="000000"/>
          <w:sz w:val="20"/>
        </w:rPr>
        <w:t xml:space="preserve"> </w:t>
      </w:r>
      <w:r>
        <w:rPr>
          <w:rFonts w:ascii="Arial" w:hAnsi="Arial"/>
          <w:color w:val="000000"/>
          <w:sz w:val="20"/>
        </w:rPr>
        <w:t>period. Upon the final closing of the Series A Convertible Preferred Shares in January 2023, all performance conditions had been satisfied and the warrants were subject to ongoing service conditions. Equity-based compensation expense is recognized using an accelerated attribution method over the remaining requisite service period.</w:t>
      </w:r>
    </w:p>
    <w:p>
      <w:pPr>
        <w:pStyle w:val="TextBody"/>
        <w:bidi w:val="0"/>
        <w:spacing w:before="360" w:after="283"/>
        <w:jc w:val="left"/>
        <w:rPr>
          <w:rFonts w:ascii="Arial" w:hAnsi="Arial"/>
          <w:b/>
          <w:i/>
          <w:color w:val="000000"/>
          <w:sz w:val="20"/>
        </w:rPr>
      </w:pPr>
      <w:r>
        <w:rPr>
          <w:rFonts w:ascii="Arial" w:hAnsi="Arial"/>
          <w:b/>
          <w:i/>
          <w:color w:val="000000"/>
          <w:sz w:val="20"/>
        </w:rPr>
        <w:t>2026 Employee Stock Purchase Plan</w:t>
      </w:r>
    </w:p>
    <w:p>
      <w:pPr>
        <w:pStyle w:val="TextBody"/>
        <w:bidi w:val="0"/>
        <w:spacing w:before="120" w:after="283"/>
        <w:ind w:left="0" w:right="0" w:firstLine="720"/>
        <w:jc w:val="left"/>
        <w:rPr>
          <w:rFonts w:ascii="Times New Roman" w:hAnsi="Times New Roman"/>
          <w:sz w:val="20"/>
        </w:rPr>
      </w:pPr>
      <w:r>
        <w:rPr>
          <w:rFonts w:ascii="Arial" w:hAnsi="Arial"/>
          <w:color w:val="222222"/>
          <w:sz w:val="20"/>
        </w:rPr>
        <w:t>In April 2026 the Company’s board of directors adopted and the Company’s stockholders approved the 2026 Employee Stock Purchase Plan (the “2026 ESPP”) which became effective immediately prior to the effectiveness of the registration statement for the IPO. The 2026 ESPP initially provides participating employees with the opportunity to purchase up to an aggregate of 418,000</w:t>
      </w:r>
      <w:r>
        <w:rPr>
          <w:rFonts w:ascii="Times New Roman" w:hAnsi="Times New Roman"/>
          <w:color w:val="222222"/>
          <w:sz w:val="20"/>
        </w:rPr>
        <w:t xml:space="preserve"> </w:t>
      </w:r>
      <w:r>
        <w:rPr>
          <w:rFonts w:ascii="Arial" w:hAnsi="Arial"/>
          <w:color w:val="222222"/>
          <w:sz w:val="20"/>
        </w:rPr>
        <w:t>shares of common stock.</w:t>
      </w:r>
      <w:r>
        <w:rPr>
          <w:rFonts w:ascii="Times New Roman" w:hAnsi="Times New Roman"/>
          <w:color w:val="222222"/>
          <w:sz w:val="20"/>
        </w:rPr>
        <w:t xml:space="preserve"> </w:t>
      </w:r>
    </w:p>
    <w:p>
      <w:pPr>
        <w:pStyle w:val="TextBody"/>
        <w:bidi w:val="0"/>
        <w:spacing w:before="120" w:after="283"/>
        <w:ind w:left="0" w:right="0" w:firstLine="720"/>
        <w:jc w:val="left"/>
        <w:rPr>
          <w:rFonts w:ascii="Arial" w:hAnsi="Arial"/>
          <w:color w:val="222222"/>
          <w:sz w:val="20"/>
        </w:rPr>
      </w:pPr>
      <w:r>
        <w:rPr>
          <w:rFonts w:ascii="Arial" w:hAnsi="Arial"/>
          <w:color w:val="222222"/>
          <w:sz w:val="20"/>
        </w:rPr>
        <w:t>The number of shares of common stock reserved for issuance under the 2026 ESPP will automatically increase on the first day of each fiscal year, commencing on January 1, 2027 and continuing for each fiscal year until, and including the fiscal year commencing on, January 1, 2036, in an amount equal to the least of (i) 1,700,000 shares of common stock, (ii) 1% of the number of shares of common stock outstanding on such date and (iii) an amount determined by the Company’s board of directors.</w:t>
      </w:r>
    </w:p>
    <w:p>
      <w:pPr>
        <w:pStyle w:val="TextBody"/>
        <w:bidi w:val="0"/>
        <w:spacing w:before="120" w:after="283"/>
        <w:ind w:left="0" w:right="0" w:firstLine="720"/>
        <w:jc w:val="left"/>
        <w:rPr>
          <w:rFonts w:ascii="Arial" w:hAnsi="Arial"/>
          <w:color w:val="222222"/>
          <w:sz w:val="20"/>
        </w:rPr>
      </w:pPr>
      <w:r>
        <w:rPr>
          <w:rFonts w:ascii="Arial" w:hAnsi="Arial"/>
          <w:color w:val="222222"/>
          <w:sz w:val="20"/>
        </w:rPr>
        <w:t>The 2026 ESPP allows each eligible employee to authorize up to a maximum of 15% of his or her compensation to be deducted by the Company during the plan period. Under the terms of the 2026 ESPP, the purchase price will be determined by the Company’s board of directors for each plan period, including whether such option price shall be determined based on the lesser of the closing price of the common stock on (i) the first business day of the plan period or (ii) the exercise date, or shall be based solely on the closing price of the common stock on the exercise date; provided, however, that such option price will be at least 85% of the applicable closing price of the common stock. If the Company’s board of directors does not make a determination of the purchase price, the purchase price will be 85% of the lesser of the closing price of the common stock on (i) the first business day of the plan period or (ii) the last day of the plan period.</w:t>
      </w:r>
    </w:p>
    <w:p>
      <w:pPr>
        <w:pStyle w:val="TextBody"/>
        <w:bidi w:val="0"/>
        <w:spacing w:before="120" w:after="283"/>
        <w:ind w:left="0" w:right="0" w:firstLine="720"/>
        <w:jc w:val="left"/>
        <w:rPr>
          <w:rFonts w:ascii="Arial" w:hAnsi="Arial"/>
          <w:color w:val="222222"/>
          <w:sz w:val="20"/>
        </w:rPr>
      </w:pPr>
      <w:r>
        <w:rPr>
          <w:rFonts w:ascii="Arial" w:hAnsi="Arial"/>
          <w:color w:val="222222"/>
          <w:sz w:val="20"/>
        </w:rPr>
        <w:t>The Company has not yet commenced any offering periods under the 2026 ESPP.</w:t>
      </w:r>
    </w:p>
    <w:p>
      <w:pPr>
        <w:pStyle w:val="TextBody"/>
        <w:bidi w:val="0"/>
        <w:spacing w:before="360" w:after="283"/>
        <w:jc w:val="left"/>
        <w:rPr>
          <w:rFonts w:ascii="Arial" w:hAnsi="Arial"/>
          <w:b/>
          <w:i/>
          <w:color w:val="000000"/>
          <w:sz w:val="20"/>
        </w:rPr>
      </w:pPr>
      <w:r>
        <w:rPr>
          <w:rFonts w:ascii="Arial" w:hAnsi="Arial"/>
          <w:b/>
          <w:i/>
          <w:color w:val="000000"/>
          <w:sz w:val="20"/>
        </w:rPr>
        <w:t>Equity-Based Compensation Expense</w:t>
      </w:r>
    </w:p>
    <w:p>
      <w:pPr>
        <w:pStyle w:val="TextBody"/>
        <w:bidi w:val="0"/>
        <w:spacing w:before="120" w:after="283"/>
        <w:ind w:left="0" w:right="0" w:firstLine="720"/>
        <w:jc w:val="left"/>
        <w:rPr>
          <w:rFonts w:ascii="Arial" w:hAnsi="Arial"/>
          <w:color w:val="000000"/>
          <w:sz w:val="20"/>
        </w:rPr>
      </w:pPr>
      <w:r>
        <w:rPr>
          <w:rFonts w:ascii="Arial" w:hAnsi="Arial"/>
          <w:color w:val="000000"/>
          <w:sz w:val="20"/>
        </w:rPr>
        <w:t>Equity-based compensation expense recorded as research and development and general and administrative expenses is as follows (in thousands):</w:t>
      </w:r>
    </w:p>
    <w:p>
      <w:pPr>
        <w:pStyle w:val="TextBody"/>
        <w:bidi w:val="0"/>
        <w:jc w:val="left"/>
        <w:rPr/>
      </w:pPr>
      <w:r>
        <w:rPr/>
        <w:t> </w:t>
      </w:r>
    </w:p>
    <w:tbl>
      <w:tblPr>
        <w:tblW w:w="7963" w:type="dxa"/>
        <w:jc w:val="left"/>
        <w:tblInd w:w="0" w:type="dxa"/>
        <w:tblLayout w:type="fixed"/>
        <w:tblCellMar>
          <w:top w:w="28" w:type="dxa"/>
          <w:left w:w="28" w:type="dxa"/>
          <w:bottom w:w="28" w:type="dxa"/>
          <w:right w:w="28" w:type="dxa"/>
        </w:tblCellMar>
      </w:tblPr>
      <w:tblGrid>
        <w:gridCol w:w="2491"/>
        <w:gridCol w:w="146"/>
        <w:gridCol w:w="301"/>
        <w:gridCol w:w="837"/>
        <w:gridCol w:w="208"/>
        <w:gridCol w:w="208"/>
        <w:gridCol w:w="301"/>
        <w:gridCol w:w="602"/>
        <w:gridCol w:w="146"/>
        <w:gridCol w:w="146"/>
        <w:gridCol w:w="275"/>
        <w:gridCol w:w="766"/>
        <w:gridCol w:w="190"/>
        <w:gridCol w:w="190"/>
        <w:gridCol w:w="275"/>
        <w:gridCol w:w="550"/>
        <w:gridCol w:w="33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2,015</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3,333</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Arial" w:hAnsi="Arial"/>
          <w:color w:val="000000"/>
          <w:sz w:val="20"/>
        </w:rPr>
        <w:t>As of June 30, 2026, the total unrecognized compensation expense related to the Company’s options and warrants was $25.3</w:t>
      </w:r>
      <w:r>
        <w:rPr>
          <w:rFonts w:ascii="Times New Roman" w:hAnsi="Times New Roman"/>
          <w:color w:val="000000"/>
          <w:sz w:val="20"/>
        </w:rPr>
        <w:t xml:space="preserve"> </w:t>
      </w:r>
      <w:r>
        <w:rPr>
          <w:rFonts w:ascii="Arial" w:hAnsi="Arial"/>
          <w:color w:val="000000"/>
          <w:sz w:val="20"/>
        </w:rPr>
        <w:t>million, which the Company expects to recognize over a weighted-average period of approximately 3.4</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Arial" w:hAnsi="Arial"/>
          <w:b/>
          <w:color w:val="000000"/>
          <w:sz w:val="20"/>
        </w:rPr>
      </w:pPr>
      <w:r>
        <w:rPr>
          <w:rFonts w:ascii="Arial" w:hAnsi="Arial"/>
          <w:b/>
          <w:color w:val="000000"/>
          <w:sz w:val="20"/>
        </w:rPr>
        <w:t>12. Net Loss Per Share</w:t>
      </w:r>
    </w:p>
    <w:p>
      <w:pPr>
        <w:pStyle w:val="TextBody"/>
        <w:bidi w:val="0"/>
        <w:spacing w:before="160" w:after="283"/>
        <w:ind w:left="0" w:right="0" w:firstLine="720"/>
        <w:jc w:val="left"/>
        <w:rPr>
          <w:rFonts w:ascii="Times New Roman" w:hAnsi="Times New Roman"/>
          <w:sz w:val="20"/>
        </w:rPr>
      </w:pPr>
      <w:r>
        <w:rPr>
          <w:rFonts w:ascii="Arial" w:hAnsi="Arial"/>
          <w:color w:val="000000"/>
          <w:sz w:val="20"/>
        </w:rPr>
        <w:t>Basic net loss per common share is calculated by dividing the net loss attributable to common stockholders by the weighted average number of shares of common stock outstanding during the period, without consideration for potentially dilutive securities. Diluted net loss per share is computed by dividing the net loss attributable to common stockholders by the weighted average number of shares of common stock and potentially dilutive securities outstanding for the period determined using the treasury stock and if converted methods. Diluted net loss per share is the same as basic net loss per share for the three and six months ended June 30, 2026 and 2025, since the effects of any potentially dilutive securities, would be antidilutive given the net loss of the Company.</w:t>
      </w:r>
      <w:r>
        <w:rPr>
          <w:rFonts w:ascii="Times New Roman" w:hAnsi="Times New Roman"/>
          <w:color w:val="000000"/>
          <w:sz w:val="20"/>
        </w:rPr>
        <w:t xml:space="preserve"> </w:t>
      </w:r>
    </w:p>
    <w:p>
      <w:pPr>
        <w:pStyle w:val="TextBody"/>
        <w:bidi w:val="0"/>
        <w:spacing w:before="160" w:after="283"/>
        <w:ind w:left="0" w:right="0" w:firstLine="720"/>
        <w:jc w:val="left"/>
        <w:rPr>
          <w:rFonts w:ascii="Times New Roman" w:hAnsi="Times New Roman"/>
          <w:sz w:val="20"/>
        </w:rPr>
      </w:pPr>
      <w:r>
        <w:rPr>
          <w:rFonts w:ascii="Arial" w:hAnsi="Arial"/>
          <w:color w:val="000000"/>
          <w:sz w:val="20"/>
        </w:rPr>
        <w:t>Basic and diluted net loss per share is calculated as follows (in thousands except share and per share amounts):</w:t>
      </w:r>
      <w:r>
        <w:rPr>
          <w:rFonts w:ascii="Times New Roman" w:hAnsi="Times New Roman"/>
          <w:color w:val="000000"/>
          <w:sz w:val="20"/>
        </w:rPr>
        <w:t xml:space="preserve"> </w:t>
      </w:r>
    </w:p>
    <w:p>
      <w:pPr>
        <w:pStyle w:val="TextBody"/>
        <w:bidi w:val="0"/>
        <w:spacing w:before="160" w:after="283"/>
        <w:ind w:left="0" w:right="0" w:firstLine="720"/>
        <w:jc w:val="left"/>
        <w:rPr/>
      </w:pPr>
      <w:r>
        <w:rPr/>
        <w:t> </w:t>
      </w:r>
    </w:p>
    <w:tbl>
      <w:tblPr>
        <w:tblW w:w="10205" w:type="dxa"/>
        <w:jc w:val="left"/>
        <w:tblInd w:w="0" w:type="dxa"/>
        <w:tblLayout w:type="fixed"/>
        <w:tblCellMar>
          <w:top w:w="28" w:type="dxa"/>
          <w:left w:w="28" w:type="dxa"/>
          <w:bottom w:w="28" w:type="dxa"/>
          <w:right w:w="28" w:type="dxa"/>
        </w:tblCellMar>
      </w:tblPr>
      <w:tblGrid>
        <w:gridCol w:w="4344"/>
        <w:gridCol w:w="146"/>
        <w:gridCol w:w="211"/>
        <w:gridCol w:w="1066"/>
        <w:gridCol w:w="166"/>
        <w:gridCol w:w="146"/>
        <w:gridCol w:w="211"/>
        <w:gridCol w:w="796"/>
        <w:gridCol w:w="166"/>
        <w:gridCol w:w="146"/>
        <w:gridCol w:w="211"/>
        <w:gridCol w:w="1066"/>
        <w:gridCol w:w="166"/>
        <w:gridCol w:w="146"/>
        <w:gridCol w:w="211"/>
        <w:gridCol w:w="796"/>
        <w:gridCol w:w="211"/>
      </w:tblGrid>
      <w:tr>
        <w:trPr/>
        <w:tc>
          <w:tcPr>
            <w:tcW w:w="4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30,111,338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15,609,236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ind w:left="0" w:right="0" w:firstLine="720"/>
        <w:jc w:val="left"/>
        <w:rPr/>
      </w:pPr>
      <w:r>
        <w:rPr/>
        <w:t> </w:t>
      </w:r>
    </w:p>
    <w:p>
      <w:pPr>
        <w:pStyle w:val="TextBody"/>
        <w:bidi w:val="0"/>
        <w:spacing w:before="160" w:after="283"/>
        <w:ind w:left="0" w:right="0" w:firstLine="720"/>
        <w:jc w:val="left"/>
        <w:rPr>
          <w:rFonts w:ascii="Arial" w:hAnsi="Arial"/>
          <w:color w:val="000000"/>
          <w:sz w:val="20"/>
        </w:rPr>
      </w:pPr>
      <w:r>
        <w:rPr>
          <w:rFonts w:ascii="Arial" w:hAnsi="Arial"/>
          <w:color w:val="000000"/>
          <w:sz w:val="20"/>
        </w:rPr>
        <w:t>The following table sets forth the outstanding shares of common stock and ordinary share equivalents, presented based on amounts outstanding at each period end, that were excluded from the calculation of diluted net loss per share for the periods indicated because including them would have been anti-dilutive:</w:t>
      </w:r>
    </w:p>
    <w:p>
      <w:pPr>
        <w:pStyle w:val="TextBody"/>
        <w:bidi w:val="0"/>
        <w:ind w:left="0" w:right="0" w:firstLine="720"/>
        <w:jc w:val="left"/>
        <w:rPr/>
      </w:pPr>
      <w:r>
        <w:rPr/>
        <w:t> </w:t>
      </w:r>
    </w:p>
    <w:tbl>
      <w:tblPr>
        <w:tblW w:w="6575" w:type="dxa"/>
        <w:jc w:val="left"/>
        <w:tblInd w:w="0" w:type="dxa"/>
        <w:tblLayout w:type="fixed"/>
        <w:tblCellMar>
          <w:top w:w="28" w:type="dxa"/>
          <w:left w:w="28" w:type="dxa"/>
          <w:bottom w:w="28" w:type="dxa"/>
          <w:right w:w="28" w:type="dxa"/>
        </w:tblCellMar>
      </w:tblPr>
      <w:tblGrid>
        <w:gridCol w:w="3331"/>
        <w:gridCol w:w="146"/>
        <w:gridCol w:w="162"/>
        <w:gridCol w:w="1071"/>
        <w:gridCol w:w="162"/>
        <w:gridCol w:w="162"/>
        <w:gridCol w:w="162"/>
        <w:gridCol w:w="1188"/>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&amp;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preference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15,211,108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4,341,568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2,112,352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306,900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spacing w:before="160" w:after="283"/>
        <w:jc w:val="left"/>
        <w:rPr>
          <w:rFonts w:ascii="Arial" w:hAnsi="Arial"/>
          <w:b/>
          <w:color w:val="000000"/>
          <w:sz w:val="20"/>
        </w:rPr>
      </w:pPr>
      <w:r>
        <w:rPr>
          <w:rFonts w:ascii="Arial" w:hAnsi="Arial"/>
          <w:b/>
          <w:color w:val="000000"/>
          <w:sz w:val="20"/>
        </w:rPr>
        <w:t>13. Segment Reporting</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Company has one</w:t>
      </w:r>
      <w:r>
        <w:rPr>
          <w:rFonts w:ascii="Times New Roman" w:hAnsi="Times New Roman"/>
          <w:color w:val="000000"/>
          <w:sz w:val="20"/>
        </w:rPr>
        <w:t xml:space="preserve"> </w:t>
      </w:r>
      <w:r>
        <w:rPr>
          <w:rFonts w:ascii="Arial" w:hAnsi="Arial"/>
          <w:color w:val="000000"/>
          <w:sz w:val="20"/>
        </w:rPr>
        <w:t>operating segment. The Company’s operating segment is engaged in the research and development of prophylactic therapeutics for bleeding disorders. The Company’s Chief Executive Officer and Chief Financial Officer/General Manager</w:t>
      </w:r>
      <w:r>
        <w:rPr>
          <w:rFonts w:ascii="Times New Roman" w:hAnsi="Times New Roman"/>
          <w:color w:val="000000"/>
          <w:sz w:val="20"/>
        </w:rPr>
        <w:t xml:space="preserve"> </w:t>
      </w:r>
      <w:r>
        <w:rPr>
          <w:rFonts w:ascii="Arial" w:hAnsi="Arial"/>
          <w:color w:val="000000"/>
          <w:sz w:val="20"/>
        </w:rPr>
        <w:t>are together considered the Company’s Chief Operating Decision Maker ("CODM") and together manage the Company’s operations on a consolidated basis for the purposes of assessing performance and allocating resources based on net loss that also is reported on the consolidated statement of operations as consolidated net loss. This financial metric is used by the CODM to make key operating decisions such as the allocation of capital between program expenses, early-stage discovery expenses, and general and administrative expense, including headcount and facilities decisions. The measure of segment assets is reported on the balance sheet as total consolidated assets. The following table presents long-lived assets by geographic location as of June 30, 2026 and December 31, 2025 (in thousands):</w:t>
      </w:r>
    </w:p>
    <w:p>
      <w:pPr>
        <w:pStyle w:val="TextBody"/>
        <w:bidi w:val="0"/>
        <w:jc w:val="left"/>
        <w:rPr/>
      </w:pPr>
      <w:r>
        <w:rPr/>
        <w:t> </w:t>
      </w:r>
    </w:p>
    <w:tbl>
      <w:tblPr>
        <w:tblW w:w="4907" w:type="dxa"/>
        <w:jc w:val="left"/>
        <w:tblInd w:w="0" w:type="dxa"/>
        <w:tblLayout w:type="fixed"/>
        <w:tblCellMar>
          <w:top w:w="28" w:type="dxa"/>
          <w:left w:w="28" w:type="dxa"/>
          <w:bottom w:w="28" w:type="dxa"/>
          <w:right w:w="28" w:type="dxa"/>
        </w:tblCellMar>
      </w:tblPr>
      <w:tblGrid>
        <w:gridCol w:w="2311"/>
        <w:gridCol w:w="146"/>
        <w:gridCol w:w="211"/>
        <w:gridCol w:w="586"/>
        <w:gridCol w:w="146"/>
        <w:gridCol w:w="146"/>
        <w:gridCol w:w="309"/>
        <w:gridCol w:w="86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ind w:left="0" w:right="0" w:firstLine="720"/>
        <w:jc w:val="left"/>
        <w:rPr>
          <w:rFonts w:ascii="Arial" w:hAnsi="Arial"/>
          <w:color w:val="000000"/>
          <w:sz w:val="20"/>
        </w:rPr>
      </w:pPr>
      <w:r>
        <w:rPr>
          <w:rFonts w:ascii="Arial" w:hAnsi="Arial"/>
          <w:color w:val="000000"/>
          <w:sz w:val="20"/>
        </w:rPr>
        <w:t>The following table presents selected financial information about the Company’s single operating segment for the three and six months ended June 30, 2026 and 2025 (in thousands):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12" w:type="dxa"/>
        <w:jc w:val="left"/>
        <w:tblInd w:w="0" w:type="dxa"/>
        <w:tblLayout w:type="fixed"/>
        <w:tblCellMar>
          <w:top w:w="28" w:type="dxa"/>
          <w:left w:w="28" w:type="dxa"/>
          <w:bottom w:w="28" w:type="dxa"/>
          <w:right w:w="28" w:type="dxa"/>
        </w:tblCellMar>
      </w:tblPr>
      <w:tblGrid>
        <w:gridCol w:w="4036"/>
        <w:gridCol w:w="146"/>
        <w:gridCol w:w="245"/>
        <w:gridCol w:w="803"/>
        <w:gridCol w:w="193"/>
        <w:gridCol w:w="169"/>
        <w:gridCol w:w="245"/>
        <w:gridCol w:w="803"/>
        <w:gridCol w:w="166"/>
        <w:gridCol w:w="146"/>
        <w:gridCol w:w="224"/>
        <w:gridCol w:w="735"/>
        <w:gridCol w:w="176"/>
        <w:gridCol w:w="155"/>
        <w:gridCol w:w="224"/>
        <w:gridCol w:w="735"/>
        <w:gridCol w:w="2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personnel-related</w:t>
              <w:br/>
              <w:t>   (excluding 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research and development costs -</w:t>
              <w:br/>
              <w:t>   sutacimig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11,166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research and development costs -</w:t>
              <w:br/>
              <w:t>   HMB-002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research and development costs -</w:t>
              <w:br/>
              <w:t>   HMB-003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 discovery related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Personnel-related (excluding equity-based</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segment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24,150</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46,837</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The significant expense categories and amounts align with the segment-level information that is regularly provided to the CODM.</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Other segment expenses include foreign currency exchange loss and other income/expense.</w:t>
      </w:r>
    </w:p>
    <w:p>
      <w:pPr>
        <w:pStyle w:val="TextBody"/>
        <w:bidi w:val="0"/>
        <w:spacing w:before="360" w:after="283"/>
        <w:jc w:val="left"/>
        <w:rPr>
          <w:rFonts w:ascii="Times New Roman" w:hAnsi="Times New Roman"/>
          <w:sz w:val="20"/>
        </w:rPr>
      </w:pPr>
      <w:r>
        <w:rPr>
          <w:rFonts w:ascii="Arial" w:hAnsi="Arial"/>
          <w:b/>
          <w:color w:val="000000"/>
          <w:sz w:val="20"/>
        </w:rPr>
        <w:t>14. Subsequent Events</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The Company considers events or transactions that occur after the balance sheet date but prior to the issuance of the financial statements to provide additional evidence for certain estimates and to identify matters that require additional disclosure. Subsequent events have been evaluated as required.</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management_discussion_and_analysis"/>
      <w:bookmarkEnd w:id="11"/>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or this Quarterly Report, and our audited consolidated financial statements and related notes included in the final prospectus for our initial public offering, or IPO, dated April 30, 2026, and filed with the U.S. Securities and Exchange Commission, or SEC, pursuant to Rule 424(b)(4) under the Securities Act of 1933, as amended, or the Securities Act, on May 1, 2026.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We are a clinical-stage biotechnology company developing therapies that reimagine the treatment of blood coagulation disorders to sustain life and human resilience. Our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heavy menstrual bleeding and other conditions of abnormal bleeding, all of which can cause significant life-long burden to patients. We are building a comprehensive franchise of investigational therapeutics spanning from Phase 2 clinical development through discovery research. Our assets address critical gaps in the treatment of coagulation disorders, with multiple value-driving clinical data events anticipated in 2026, 2027 and beyond.</w:t>
      </w:r>
    </w:p>
    <w:p>
      <w:pPr>
        <w:pStyle w:val="TextBody"/>
        <w:bidi w:val="0"/>
        <w:spacing w:before="240" w:after="283"/>
        <w:ind w:left="0" w:right="0" w:firstLine="720"/>
        <w:jc w:val="left"/>
        <w:rPr>
          <w:rFonts w:ascii="Arial" w:hAnsi="Arial"/>
          <w:color w:val="000000"/>
          <w:sz w:val="20"/>
        </w:rPr>
      </w:pPr>
      <w:r>
        <w:rPr>
          <w:rFonts w:ascii="Arial" w:hAnsi="Arial"/>
          <w:color w:val="000000"/>
          <w:sz w:val="20"/>
        </w:rPr>
        <w:t>Our lead asset, sutacimig, is a bispecific antibody currently in Phase 1/2 clinical development for the prophylactic treatment of Glanzmann thrombasthenia and Phase 2 clinical development for the prophylactic treatment of Factor VII deficiency. Our second clinical-stage asset, HMB-002, is a monovalent antibody in Phase 1/2 clinical development for subcutaneous prophylactic treatment of Von Willebrand Disease. We are also developing HMB-003, an anti-fibrinolytic targeting plasmin inhibition in preclinical development to reduce bleeding across multiple high-unmet-need conditions, beginning with heavy menstrual bleeding. We are also advancing multiple preclinical and discovery-stage assets.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Since our inception in 2020, we have devoted substantially all of our resources to drug discovery, the development of our lead product candidates, sutacimig and HMB-002, along with several preclinical programs focusing on coagulation disorders such as HMB-003. In addition to our research and development efforts, our operations to date have been limited to organizing and staffing our company, business planning, raising capital, securing intellectual property rights, in-licensing technology, discovering product candidates, undertaking preclinical studies, conducting clinical trials and providing general and administrative support for these operations.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have no approved products, and we have not generated any revenue from product sales. On May 4, 2026, we closed our initial public offering ("IPO") of 19,262,500 shares of common stock, which included the exercise in full by the underwriters of their option to purchase additional shares of common stock. The net proceeds from the IPO were approximately $317.2 million, after deducting underwriting discounts and commissions and offering expenses payable by us. Prior to our IPO, we financed our operations primarily through private placements of convertible preference shares and issuance of convertible debt. Since our inception through June 30, 2026, we have received aggregate gross proceeds of approximately $692.7 million from such transactions.</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We have incurred significant operating losses since inception. Our net losses were $46.8 million and $27.5 million for the six months ended June 30, 2026 and 2025, respectively. As of June 30, 2026, we had an accumulated deficit of $228.7 million. We expect to continue to incur significant operating expenses and net losses for the foreseeable future.</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anticipate that our expenses will increase substantially if and as we:</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to advance the clinical development of our product candidates, including our ongoing clinical development of sutacimig in patients with Glanzmann thrombasthenia and Factor VII deficiency, our ongoing clinical development of HMB-002 in patients with Von Willebrand Disease, as well as HMB-003 and any other product candidates that we may develop;</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to advance our research and preclinical activities and seek to discover and develop additional product candidates;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regulatory and marketing approvals for any of our product candidates that successfully complete clinical trials;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ultimately establish a sales, marketing, medical affairs and distribution infrastructure to commercialize any products for which we may obtain marketing approval;</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to develop, maintain, expand and protect our intellectual property portfolio (including intellectual property obtained through license agreements) and provide reimbursement of third-party expenses related to our patent portfolio;</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acquire or in-license products, product candidates or technologies;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or maintain collaborations;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expand, enforce, defend and protect our intellectual property;</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clinical, medical, regulatory, quality control, manufacturing and other scientific and technical personnel;</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 operational, financial, clinical, quality and management information systems and personnel, including personnel to support our product development and planned future commercialization efforts of our product candidates and our operations as a public company;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incur additional audit, legal, regulatory, tax and other expenses with being a public company;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make any milestone, royalty, or other payments to Novo Nordisk A/S, or Novo Nordisk, under our license agreement with Novo Nordisk, or the Novo Nordisk Agreement, to Genmab A/S, or Genmab, under our license agreement with Genmab, or the Genmab Agreement, and to Gubra A/S, or Gubra, under our collaboration agreement with Gubra, or the Gubra Agreement, and under any additional future collaboration or license agreements that we may enter into.</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addition, our expenses will further increase if, among other things: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required by the U.S. Food and Drug Administration, the European Medicines Agency, or other regulatory authorities to perform clinical trials or preclinical studies that are in addition to, or different than, those expected;</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are any delays in completing our clinical trials or preclinical studies or the development of any of our product candidates; or</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are any third-party challenges to our intellectual property or we need to defend against any intellectual property-related claim.</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will not generate revenue from product sales unless and until we successfully complete the clinical development or future clinical development of, and obtain regulatory approval for, one or more of our current or future product candidates, which may not occur for several years, if at all. In addition, if we obtain marketing approval for our product candidates and any other product candidates we may identify and pursue, we expect to incur significant commercialization expenses related to product manufacturing, sales, marketing and distribution.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Our net losses may fluctuate significantly from period to period, depending on the timing of our current and potential future clinical trials and expenditures related to our research and developmental activities. Furthermore, we expect to incur additional costs associated with operating as a public company. Accordingly, we will need to obtain substantial additional funding to support our continuing operations and pursue our growth strategy. Until such a time when we can generate significant revenue from product sales, if ever, we expect to finance our operations through a combination of equity offerings, debt financings, royalty financings, collaborations, strategic alliances, and marketing, distribution or licensing arrangements. We may be unable to raise additional funds or enter into such other agreements or arrangements when needed, on favorable terms, or at all. Our failure to raise capital or enter into such agreements or arrangements as, and when needed, could have a material adverse effect on our business, results of operations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financial condition, including potentially requiring us to delay, limit, reduce or eliminate product development or future commercialization efforts, or grant rights to develop and market current or future development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As there are numerous risks and uncertainties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As of June 30, 2026, we had cash, cash equivalents and marketable securities of $457.5 million. We believe that our existing cash, cash equivalents and marketable securities will enable us to fund our operating expenses and capital expenditure requirements into 2029. For more information, see the section titled “</w:t>
      </w:r>
      <w:r>
        <w:rPr>
          <w:rFonts w:ascii="Arial" w:hAnsi="Arial"/>
          <w:i/>
          <w:color w:val="000000"/>
          <w:sz w:val="20"/>
        </w:rPr>
        <w:t>Liquidity and Capital Resources</w:t>
      </w:r>
      <w:r>
        <w:rPr>
          <w:rFonts w:ascii="Times New Roman" w:hAnsi="Times New Roman"/>
          <w:color w:val="000000"/>
          <w:sz w:val="20"/>
        </w:rPr>
        <w:t xml:space="preserve">” </w:t>
      </w:r>
      <w:r>
        <w:rPr>
          <w:rFonts w:ascii="Arial" w:hAnsi="Arial"/>
          <w:color w:val="000000"/>
          <w:sz w:val="20"/>
        </w:rPr>
        <w:t>below.</w:t>
      </w:r>
    </w:p>
    <w:p>
      <w:pPr>
        <w:pStyle w:val="TextBody"/>
        <w:bidi w:val="0"/>
        <w:spacing w:before="240" w:after="283"/>
        <w:jc w:val="left"/>
        <w:rPr>
          <w:rFonts w:ascii="Arial" w:hAnsi="Arial"/>
          <w:b/>
          <w:i/>
          <w:color w:val="000000"/>
          <w:sz w:val="20"/>
        </w:rPr>
      </w:pPr>
      <w:r>
        <w:rPr>
          <w:rFonts w:ascii="Arial" w:hAnsi="Arial"/>
          <w:b/>
          <w:i/>
          <w:color w:val="000000"/>
          <w:sz w:val="20"/>
        </w:rPr>
        <w:t>Recent Developments</w:t>
      </w:r>
    </w:p>
    <w:p>
      <w:pPr>
        <w:pStyle w:val="TextBody"/>
        <w:bidi w:val="0"/>
        <w:spacing w:before="240" w:after="283"/>
        <w:jc w:val="left"/>
        <w:rPr>
          <w:rFonts w:ascii="Arial" w:hAnsi="Arial"/>
          <w:i/>
          <w:color w:val="000000"/>
          <w:sz w:val="20"/>
        </w:rPr>
      </w:pPr>
      <w:r>
        <w:rPr>
          <w:rFonts w:ascii="Arial" w:hAnsi="Arial"/>
          <w:i/>
          <w:color w:val="000000"/>
          <w:sz w:val="20"/>
        </w:rPr>
        <w:t>Sutacimig</w:t>
      </w:r>
    </w:p>
    <w:p>
      <w:pPr>
        <w:pStyle w:val="TextBody"/>
        <w:bidi w:val="0"/>
        <w:spacing w:before="240" w:after="283"/>
        <w:ind w:left="0" w:right="0" w:firstLine="720"/>
        <w:jc w:val="left"/>
        <w:rPr>
          <w:rFonts w:ascii="Arial" w:hAnsi="Arial"/>
          <w:i/>
          <w:color w:val="000000"/>
          <w:sz w:val="20"/>
        </w:rPr>
      </w:pPr>
      <w:r>
        <w:rPr>
          <w:rFonts w:ascii="Arial" w:hAnsi="Arial"/>
          <w:i/>
          <w:color w:val="000000"/>
          <w:sz w:val="20"/>
        </w:rPr>
        <w:t>Glanzmann Thrombasthenia</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July 2026, we announced that sutacimig demonstrated a sustained prophylactic effect in Glanzmann thrombasthenia in the long-term extension portion of our ongoing Phase 2 clinical trial of sutacimig in patients with Glanzmann thrombasthenia. The data enabled identification of a once weekly dose of 0.2 mg/kg for our planned Phase 3 clinical trial, which the FDA has endorsed. This dose has the potential to optimize annualized treated bleed event rate, or ATBR, reduction while avoiding high peak exposures associated with thromboembolism observed in our Phase 1/2 clinical trial of sutacimig in patients with Glanzmann thrombasthenia. We plan to initiate a Phase 3 clinical trial of sutacimig for Glanzmann thrombasthenia in the second half of 2026.</w:t>
      </w:r>
    </w:p>
    <w:p>
      <w:pPr>
        <w:pStyle w:val="TextBody"/>
        <w:bidi w:val="0"/>
        <w:spacing w:before="240" w:after="283"/>
        <w:ind w:left="0" w:right="0" w:firstLine="720"/>
        <w:jc w:val="left"/>
        <w:rPr>
          <w:rFonts w:ascii="Arial" w:hAnsi="Arial"/>
          <w:i/>
          <w:color w:val="000000"/>
          <w:sz w:val="20"/>
        </w:rPr>
      </w:pPr>
      <w:r>
        <w:rPr>
          <w:rFonts w:ascii="Arial" w:hAnsi="Arial"/>
          <w:i/>
          <w:color w:val="000000"/>
          <w:sz w:val="20"/>
        </w:rPr>
        <w:t>Factor VII deficiency</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July 2026, we presented preclinical data for sutacimig in FVIID that demonstrated restoration of thrombin generation under disease-mimicking conditions. The data demonstrated retained binding expected for greater than 90% of severe-to-moderate FVIID database variants and confirmed binding across 22 of 25 tested variants (88%), supporting broad patient applicability for our ongoing Phase 2 clinical trial of sutacimig in Factor VII deficiency. We expect to report data from our Phase 2 clinical trial of sutacimig in Factor VII deficiency in late 2026 or early 2027.</w:t>
      </w:r>
    </w:p>
    <w:p>
      <w:pPr>
        <w:pStyle w:val="TextBody"/>
        <w:bidi w:val="0"/>
        <w:spacing w:before="240" w:after="283"/>
        <w:jc w:val="left"/>
        <w:rPr>
          <w:rFonts w:ascii="Arial" w:hAnsi="Arial"/>
          <w:i/>
          <w:color w:val="000000"/>
          <w:sz w:val="20"/>
        </w:rPr>
      </w:pPr>
      <w:r>
        <w:rPr>
          <w:rFonts w:ascii="Arial" w:hAnsi="Arial"/>
          <w:i/>
          <w:color w:val="000000"/>
          <w:sz w:val="20"/>
        </w:rPr>
        <w:t>HMB-002</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July 2026, we also announced new first-in-human data from VELORA Pioneer, our Phase 1/2 clinical trial of HMB-002 in patients with Von Willebrand Disease. VELORA Pioneer is a three-part protocol: Part A evaluating pharmacokinetics ("PK"), pharmacodynamics ("PD"), and safety of HMB-002 following a single fixed subcutaneous ("SC") dose; Part B evaluating PK, PD, and exploratory efficacy following multiple SC doses; and a newly added Part C evaluating single dose HMB-002 with concomitant IV factor concentrate. All three parts are actively enrolling patients. We believe the data validated our approach of increasing von Willebrand factor, or VWF, and coagulation factor VIII, or FVIII, in Von Willebrand Disease with durable subcutaneous dosing, and a multiple dose assessment is underway. The data announcement reported the following:</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Extended half-life supporting infrequent dosing: PK analysis confirmed dose-dependent increase in Cmax with prolonged duration.</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Dual VWF and FVIII elevation: In all dose cohorts tested, VWF and FVIII were elevated in a dose-dependent manner. In cohort A3 (150 mg), ≥2.4-fold elevation in both VWF and FVIII was achieved and accompanied by restoration of thrombin generation, shortening of APTT, and stable multimer distribution. The pharmacokinetic/pharmacodynamic ("PK/PD") profile supports potential for monthly dosing.</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 xml:space="preserve">Emerging safety profile: Most treatment-emergent adverse events, or TEAEs, were mild to moderate in severity, no serious TEAEs occurred, no events were considered related to HMB-002, and no participant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rFonts w:ascii="Arial" w:hAnsi="Arial"/>
          <w:color w:val="000000"/>
          <w:sz w:val="20"/>
        </w:rPr>
      </w:pPr>
      <w:r>
        <w:rPr>
          <w:rFonts w:ascii="Arial" w:hAnsi="Arial"/>
          <w:color w:val="000000"/>
          <w:sz w:val="20"/>
        </w:rPr>
        <w:t>discontinued the study due to TEAEs. There were no thromboembolic events, no injection site reactions, no thrombocytopenia, and no hypersensitivity reactions.</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Preliminary clinical observations: The single ascending dose, or SAD, part of the study was not designed to measure efficacy, so clinical observations should be considered descriptive in nature. Three of the four cohorts have completed enrollment with the fourth currently enrolling patients. Across the SAD cohorts, 8 of 9 evaluable patients had zero treated bleeds in the 28 days following HMB-002 dosing, with a mean ATBR of 1.6. Among participants treated with HMB-002, the baseline mean ATBR before HMB-002 treatment was 20.1 reflecting significant disease burden in Type 1 VWD, based on bleed data collected up to 5.5 months.</w:t>
      </w:r>
    </w:p>
    <w:p>
      <w:pPr>
        <w:pStyle w:val="TextBody"/>
        <w:bidi w:val="0"/>
        <w:spacing w:before="240" w:after="240"/>
        <w:jc w:val="left"/>
        <w:rPr>
          <w:rFonts w:ascii="Times New Roman" w:hAnsi="Times New Roman"/>
          <w:sz w:val="20"/>
        </w:rPr>
      </w:pPr>
      <w:r>
        <w:rPr>
          <w:rFonts w:ascii="Arial" w:hAnsi="Arial"/>
          <w:i/>
          <w:color w:val="000000"/>
          <w:sz w:val="20"/>
        </w:rPr>
        <w:t>HMB-003</w:t>
      </w:r>
      <w:r>
        <w:rPr>
          <w:rFonts w:ascii="Times New Roman" w:hAnsi="Times New Roman"/>
          <w:color w:val="000000"/>
          <w:sz w:val="20"/>
        </w:rPr>
        <w:t xml:space="preserve"> </w:t>
      </w:r>
    </w:p>
    <w:p>
      <w:pPr>
        <w:pStyle w:val="TextBody"/>
        <w:bidi w:val="0"/>
        <w:ind w:left="0" w:right="0" w:firstLine="720"/>
        <w:jc w:val="left"/>
        <w:rPr>
          <w:rFonts w:ascii="Arial" w:hAnsi="Arial"/>
          <w:color w:val="000000"/>
          <w:sz w:val="20"/>
        </w:rPr>
      </w:pPr>
      <w:r>
        <w:rPr>
          <w:rFonts w:ascii="Arial" w:hAnsi="Arial"/>
          <w:color w:val="000000"/>
          <w:sz w:val="20"/>
        </w:rPr>
        <w:t>Also in July 2026, we announced that preclinical data for HMB-003 demonstrated that HMB-003 directly inhibited plasmin at its active site and inhibited fibrinolysis across both tPA- and uPA-driven pathways, while showing no effect on thrombin generation, platelet function, or coagulation in nonclinical studies. Additionally, following a single subcutaneous dose in minipigs, HMB-003 achieved peak plasma levels within hours and sustained antifibrinolytic activity for approximately one week. We expect to initiate first-in-human studies of HMB-003 in the second half of 2026 with initial clinical data in mid-2027.</w:t>
      </w:r>
    </w:p>
    <w:p>
      <w:pPr>
        <w:pStyle w:val="TextBody"/>
        <w:bidi w:val="0"/>
        <w:spacing w:before="360" w:after="283"/>
        <w:jc w:val="left"/>
        <w:rPr>
          <w:rFonts w:ascii="Times New Roman" w:hAnsi="Times New Roman"/>
          <w:sz w:val="20"/>
        </w:rPr>
      </w:pPr>
      <w:r>
        <w:rPr>
          <w:rFonts w:ascii="Arial" w:hAnsi="Arial"/>
          <w:b/>
          <w:i/>
          <w:color w:val="000000"/>
          <w:sz w:val="20"/>
        </w:rPr>
        <w:t>Corporate Reorganization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Arial" w:hAnsi="Arial"/>
          <w:color w:val="000000"/>
          <w:sz w:val="20"/>
        </w:rPr>
        <w:t>On March 30, 2026, we completed a corporate reorganization pursuant to which the shareholders of Hemab ApS exchanged their shares in Hemab ApS for the same number, class and series of newly issued shares, on a one to one basis, in the newly incorporated Delaware company, Hemab Therapeutics Holdings, Inc. and, as a result, Hemab ApS became a wholly owned subsidiary of Hemab Therapeutics Holdings, Inc. The newly issued shares of Hemab Therapeutics Holdings, Inc. have substantially identical rights to the exchanged shares of Hemab ApS. As a result of the exchange, Hemab Therapeutics Holdings, Inc. became the sole shareholder of Hemab ApS, and the prior shareholders of Hemab ApS solely hold shares of Hemab Therapeutics Holdings, Inc. Hemab Therapeutics Holdings, Inc. had nominal assets and liabilities and did not conduct any operations prior to the corporate reorganization other than its incorporation. Upon completion of the corporate reorganization, the historical consolidated financial statements of Hemab ApS became the historical consolidated financial statements of Hemab Therapeutics Holdings, Inc.</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Arial" w:hAnsi="Arial"/>
          <w:color w:val="000000"/>
          <w:sz w:val="20"/>
        </w:rPr>
        <w:t>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Each new warrant otherwise has and is subject to the same terms and conditions as were in effect immediately prior to the assumption and conversion, except that any warrant exercise price that had been denominated in DKK prior to the corporate reorganization was converted into an exercise price in U.S. dollars at the exchange rate as in effect at the close of business on the business day prior to the corporate reorganization. No warrants of Hemab ApS are outstanding following the assumption and conversion.</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Arial" w:hAnsi="Arial"/>
          <w:color w:val="000000"/>
          <w:sz w:val="20"/>
        </w:rPr>
        <w:t>Additionally, promptly following the corporate reorganization, on April 1, 2026,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have not generated any revenues from the sale of products to date and do not expect to generate any revenue from the sale of products until we successfully complete development and obtain regulatory approval for one or more of our product candidates, which may not occur for several years, if at all. If our development efforts for our product candidates are successful and result in regulatory approval or we successfully enter into collaboration or license agreements with third parties, we may generate revenues in the future from product sales, or payments from such collaboration or license agreements, or a combination thereof.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operating expenses consist of research and development expenses and general and administrative expenses.</w:t>
      </w:r>
      <w:r>
        <w:rPr>
          <w:rFonts w:ascii="Times New Roman" w:hAnsi="Times New Roman"/>
          <w:color w:val="000000"/>
          <w:sz w:val="20"/>
        </w:rPr>
        <w:t xml:space="preserve"> </w:t>
      </w:r>
    </w:p>
    <w:p>
      <w:pPr>
        <w:pStyle w:val="TextBody"/>
        <w:bidi w:val="0"/>
        <w:spacing w:before="360" w:after="283"/>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Research and development expenses consist primarily of external and internal costs incurred for our research and development activities, including our product candidate discovery and development efforts. These expenses include:</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external costs, including expenses incurred under arrangements with third-parties, such as contract manufacturing organizations, or CMOs, contract research organizations, or CROs, providers of sponsored research, consultants and our scientific advisors;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laboratory and vendor costs related to the execution of preclinical studies and planned and ongoing clinical trials;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related to compliance with regulatory requirements;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direct costs of conducting internal research and development for our internal preclinical programs;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acquisition of intellectual property and related future payments should certain development and regulatory milestones be achieved;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personnel-related costs, including salaries, bonuses, benefits and equity-based compensation for employees engaged in research and development functions;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expenses incurred for the procurement of materials, laboratory supplies and non-capital equipment used in the research and development process;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depreciation, amortization and other direct and allocated expenses, including rent, insurance, maintenance of facilities and other operating costs, incurred as a result of our research and development activities.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record accruals for estimated ongoing research costs and receive updated estimates of costs and amounts owed on a monthly basis from our third-party service providers. When evaluating the adequacy of the prepaid expenses and accrued liabilities, we analyze progress of the studies, including the phase or completion of events, invoices received and contracted cost estimates from its third-party service providers. Estimates are made in determining the balances at the end of any reporting period.</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A significant portion of our research and development costs have been, and will continue to be, external costs. External costs, which are specific to a product candidate, are tracked on a product candidate-by-product candidate basis upon our designation of a preclinical asset as a product candidate. Because we can use certain resources across several product candidates, personnel-related expenses and indirect or shared operating costs incurred for our research and development activities are not recorded or allocated on a product candidate-by-product candidate basis.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We have historically met the requirements to receive a tax credit in Denmark of up to 5.5 million Danish Kroner, or DKK, per year for losses resulting from research and development costs of up to DKK 25 million per year. The tax credit is presented as a reduction to research and development expense in the condensed consolidated statements of operations and comprehensive loss.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anticipate that our research and development expenses will increase substantially for the foreseeable future in connection with our ongoing clinical trials and our planned clinical development activities. However, we cannot reasonably estimate the costs or timing of the efforts that will be necessary to complete the development of any of our product candidates due to the numerous risks and uncertainties associated with their development, including the uncertainty of:</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progress, costs and results of our current and future preclinical studies and clinical trials for our product candidates;</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clinical trials required for regulatory approval of our current or future product candidates;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we partner our programs with collaborators for later-stage clinical development or commercialization;</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and development requirements of any other product candidates we may identify and develop;</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our product candidates and any other product candidates we may identify and develop;</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obtaining clinical and commercial supplies of our product candidates and any other product candidates we may identify and develop;</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successfully commercialize our product candidates and any other product candidates we may identify and develop;</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time and cost necessary to respond to technological and market developments;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we may acquire or in-license other product candidates and technologies;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establish and maintain strategic collaborations, licensing or other arrangements and the financial terms of such arrangements;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milestone payments and other collaboration-based payments, if any;</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attract, hire and retain qualified personnel; and</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 of macroeconomic trends including inflation, foreign exchange rate, interest rates and tariffs.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Any changes in the outcome of any of these variables with respect to the development of our programs and product candidates or any future programs and product candidates that we may develop could result in a significant change in the costs and timing associated with the development of that program or product candidate. We may never succeed in achieving regulatory approval for any of our product candidates or any future product candidates that we may identify and develop.</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General and administrative expenses consist primarily of personnel-related costs, including salaries, bonuses, benefits and equity-based compensation expenses for employees in executive, accounting and finance, business development, human resources, legal and other administrative functions. Other significant general and administrative expenses include facility related costs including depreciation, legal fees relating to corporate and intellectual property matters and other corporate matters, professional fees for accounting, audit and tax services, consulting fees and insurance costs.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anticipate that our general and administrative expenses will increase as we increase our headcount to support our research and development activities and the potential commercialization of our product candidates, if approved. Additionally, these increases will likely include increased costs related to the hiring of additional personnel, among other expenses. We also expect to incur increased expenses associated with being a public company, including increased costs of accounting, audit, legal, regulatory and tax-related services associated with maintaining compliance with Nasdaq listing requirements and the requirements of the Securities and Exchange Commission, or the SEC, director and officer insurance costs, and investor and public relations costs. We also expect to incur additional intellectual property-related expenses as we file patent applications to protect innovations arising from our research and development activities.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i/>
          <w:color w:val="000000"/>
          <w:sz w:val="20"/>
        </w:rPr>
        <w:t>Other Income (Expense), Net</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Other income (expense), net primarily consists of interest income generated from interest on cash, cash equivalents and marketable securities, realized and unrealized gains and losses on foreign currency transactions and interest expense associated with our finance lease for certain laboratory equipment.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i/>
          <w:color w:val="000000"/>
          <w:sz w:val="20"/>
        </w:rPr>
        <w:t>Income Taxes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subject to taxation in the United States and Denmark. As of December 31, 2025, we had $170.9 million of net operating loss carryforwards that can be carried forward indefinitely according to Danish Tax Authority regulations. These loss carryforwards are available to reduce future taxable income, if any.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Deferred tax assets and liabilities are recognized for the future tax consequences attributable to differences between the financial statement carrying amounts of existing assets and liabilities and their respective tax bases, and operating losses and tax credit carry forwards. Deferred tax assets and liabilities are measured using enacted statutory tax rates expected to apply to taxable income in the jurisdictions and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240" w:after="283"/>
        <w:ind w:left="0" w:right="0" w:firstLine="720"/>
        <w:jc w:val="left"/>
        <w:rPr>
          <w:rFonts w:ascii="Arial" w:hAnsi="Arial"/>
          <w:color w:val="000000"/>
          <w:sz w:val="20"/>
        </w:rPr>
      </w:pPr>
      <w:r>
        <w:rPr>
          <w:rFonts w:ascii="Arial" w:hAnsi="Arial"/>
          <w:color w:val="000000"/>
          <w:sz w:val="20"/>
        </w:rPr>
        <w:t>Based on the level of historical operating results and projections for the taxable income for the future, we have determined that it is more likely than not that our net deferred tax assets will not be realized. Accordingly, we have recorded a full valuation allowance to reduce our net deferred tax assets.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We recognize tax benefits from uncertain tax positions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We recognize interest and penalties related to unrecognized tax benefits within the provision for taxes in our statements of operations and comprehensive loss.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We operate in Denmark and the United States and may be subject to audits from various tax authorities. Management’s judgment is required in determining our provision for income taxes, our deferred tax assets and liabilities, liabilities for uncertain tax positions, and any valuation allowance recorded against our net deferred tax assets. We plan to monitor the extent to which our deferred tax assets may be realized and adjust the valuation allowance accordingly.</w:t>
      </w:r>
    </w:p>
    <w:p>
      <w:pPr>
        <w:pStyle w:val="TextBody"/>
        <w:bidi w:val="0"/>
        <w:spacing w:before="36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Comparison of the Three Months Ended June 30, 2026 and 2025</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following table summarizes our results of operations for the periods presented (in thousands):</w:t>
      </w:r>
      <w:r>
        <w:rPr>
          <w:rFonts w:ascii="Times New Roman" w:hAnsi="Times New Roman"/>
          <w:color w:val="000000"/>
          <w:sz w:val="20"/>
        </w:rPr>
        <w:t xml:space="preserve"> </w:t>
      </w:r>
    </w:p>
    <w:p>
      <w:pPr>
        <w:pStyle w:val="TextBody"/>
        <w:bidi w:val="0"/>
        <w:ind w:left="0" w:right="0" w:firstLine="720"/>
        <w:jc w:val="left"/>
        <w:rPr/>
      </w:pPr>
      <w:r>
        <w:rPr/>
        <w:t> </w:t>
      </w:r>
    </w:p>
    <w:tbl>
      <w:tblPr>
        <w:tblW w:w="8148" w:type="dxa"/>
        <w:jc w:val="left"/>
        <w:tblInd w:w="0" w:type="dxa"/>
        <w:tblLayout w:type="fixed"/>
        <w:tblCellMar>
          <w:top w:w="28" w:type="dxa"/>
          <w:left w:w="28" w:type="dxa"/>
          <w:bottom w:w="28" w:type="dxa"/>
          <w:right w:w="28" w:type="dxa"/>
        </w:tblCellMar>
      </w:tblPr>
      <w:tblGrid>
        <w:gridCol w:w="3721"/>
        <w:gridCol w:w="146"/>
        <w:gridCol w:w="211"/>
        <w:gridCol w:w="751"/>
        <w:gridCol w:w="166"/>
        <w:gridCol w:w="146"/>
        <w:gridCol w:w="211"/>
        <w:gridCol w:w="751"/>
        <w:gridCol w:w="166"/>
        <w:gridCol w:w="146"/>
        <w:gridCol w:w="211"/>
        <w:gridCol w:w="751"/>
        <w:gridCol w:w="77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(10,022</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(4,349</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(11,848</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(11,941</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ind w:left="0" w:right="0" w:firstLine="72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following table summarizes our research and development expenses for the periods presented (in thousands):</w:t>
      </w:r>
      <w:r>
        <w:rPr>
          <w:rFonts w:ascii="Times New Roman" w:hAnsi="Times New Roman"/>
          <w:color w:val="000000"/>
          <w:sz w:val="20"/>
        </w:rPr>
        <w:t xml:space="preserve"> </w:t>
      </w:r>
    </w:p>
    <w:p>
      <w:pPr>
        <w:pStyle w:val="TextBody"/>
        <w:bidi w:val="0"/>
        <w:jc w:val="left"/>
        <w:rPr/>
      </w:pPr>
      <w:r>
        <w:rPr/>
        <w:t> </w:t>
      </w:r>
    </w:p>
    <w:tbl>
      <w:tblPr>
        <w:tblW w:w="8653" w:type="dxa"/>
        <w:jc w:val="left"/>
        <w:tblInd w:w="0" w:type="dxa"/>
        <w:tblLayout w:type="fixed"/>
        <w:tblCellMar>
          <w:top w:w="28" w:type="dxa"/>
          <w:left w:w="28" w:type="dxa"/>
          <w:bottom w:w="28" w:type="dxa"/>
          <w:right w:w="28" w:type="dxa"/>
        </w:tblCellMar>
      </w:tblPr>
      <w:tblGrid>
        <w:gridCol w:w="4711"/>
        <w:gridCol w:w="286"/>
        <w:gridCol w:w="211"/>
        <w:gridCol w:w="691"/>
        <w:gridCol w:w="146"/>
        <w:gridCol w:w="146"/>
        <w:gridCol w:w="211"/>
        <w:gridCol w:w="691"/>
        <w:gridCol w:w="146"/>
        <w:gridCol w:w="146"/>
        <w:gridCol w:w="211"/>
        <w:gridCol w:w="586"/>
        <w:gridCol w:w="471"/>
      </w:tblGrid>
      <w:tr>
        <w:trPr/>
        <w:tc>
          <w:tcPr>
            <w:tcW w:w="47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research and development costs by product</w:t>
              <w:br/>
              <w:t>   candidate: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sutacimig</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HMB-002</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HMB-003</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costs: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Personnel-related (excluding equity-based</w:t>
              <w:br/>
              <w:t>   compensation)</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Equity-based compensation</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Discovery and other</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720"/>
        <w:jc w:val="left"/>
        <w:rPr>
          <w:rFonts w:ascii="Arial" w:hAnsi="Arial"/>
          <w:color w:val="000000"/>
          <w:sz w:val="20"/>
        </w:rPr>
      </w:pPr>
      <w:r>
        <w:rPr>
          <w:rFonts w:ascii="Arial" w:hAnsi="Arial"/>
          <w:color w:val="000000"/>
          <w:sz w:val="20"/>
        </w:rPr>
        <w:t>Total research and development expenses were $20.3 million for the three months ended June 30, 2026, compared to $12.9 million for the three months ended June 30, 2025. The $7.4 million increase in research and development expenses for the three months ended June 30, 2026 was primarily due to an increase of $3.3 million in external research and development costs for our drug product candidates, a $3.2 million increase in personnel-related costs and equity-based compensation and an increase of $0.9 million in discovery and other costs related to adding consultancy resources for medical and clinical operations.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External research and development expenses related to sutacimig for the three months ended June 30, 2026 and 2025 were $5.4 million and $4.7 million, respectively. The increase of $0.7 million for the three months ended June 30, 2026 was primarily driven by increased Chemistry, Manufacturing, and Controls, or CMC, costs.</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External research and development expenses related to HMB-002 for the three months ended June 30, 2026 and 2025 were $3.0 million and $1.8 million, respectively. The increase of $1.2 million for the three months ended June 30, 2026 was primarily driven by clinical development costs related to the ongoing Phase 1/2 clinical trial of HMB-002 during the three months ended June 30, 2026 as compared to start-up costs during the three months ended June 30, 2025.</w:t>
      </w:r>
    </w:p>
    <w:p>
      <w:pPr>
        <w:pStyle w:val="TextBody"/>
        <w:bidi w:val="0"/>
        <w:spacing w:before="240" w:after="283"/>
        <w:ind w:left="0" w:right="0" w:firstLine="720"/>
        <w:jc w:val="left"/>
        <w:rPr>
          <w:rFonts w:ascii="Arial" w:hAnsi="Arial"/>
          <w:color w:val="000000"/>
          <w:sz w:val="20"/>
        </w:rPr>
      </w:pPr>
      <w:r>
        <w:rPr>
          <w:rFonts w:ascii="Arial" w:hAnsi="Arial"/>
          <w:color w:val="000000"/>
          <w:sz w:val="20"/>
        </w:rPr>
        <w:t>External research and development expenses related to HMB-003 for the three months ended June 30, 2026 and 2025 were $1.9 million and $0.5 million, respectively. The increase of $1.4 million for the three months ended June 30, 2026 was primarily driven by increased non-clinical and CMC development related to the HMB-003 program during the three months ended June 30, 2026 as compared to primarily pre-clinical development costs in the three months ended June 30, 2025.</w:t>
      </w:r>
    </w:p>
    <w:p>
      <w:pPr>
        <w:pStyle w:val="TextBody"/>
        <w:bidi w:val="0"/>
        <w:spacing w:before="240" w:after="283"/>
        <w:ind w:left="0" w:right="0" w:firstLine="720"/>
        <w:jc w:val="left"/>
        <w:rPr>
          <w:rFonts w:ascii="Arial" w:hAnsi="Arial"/>
          <w:color w:val="000000"/>
          <w:sz w:val="20"/>
        </w:rPr>
      </w:pPr>
      <w:r>
        <w:rPr>
          <w:rFonts w:ascii="Arial" w:hAnsi="Arial"/>
          <w:color w:val="000000"/>
          <w:sz w:val="20"/>
        </w:rPr>
        <w:t>Personnel-related expenses and equity-based compensation increased by $2.5 million and $0.8 million in the three months ended June 30, 2026, respectively, compared to the three months ended June 30, 2025, primarily driven by a significant increase in average headcount across clinical development, CMC, and clinical operations related to the pursuit of identifying and developing product candidates.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Discovery and other costs increased by $0.9 million for the three months ended June 30, 2026 compared to the three months ended June 30, 2025, primarily driven by an increase in discovery activities and consultancy expense related to clinical operations, clinical research, and regulatory research.</w:t>
      </w:r>
    </w:p>
    <w:p>
      <w:pPr>
        <w:pStyle w:val="TextBody"/>
        <w:bidi w:val="0"/>
        <w:spacing w:before="360" w:after="283"/>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following table summarizes our general and administrative expenses for the periods presented (in thousands):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063" w:type="dxa"/>
        <w:jc w:val="left"/>
        <w:tblInd w:w="0" w:type="dxa"/>
        <w:tblLayout w:type="fixed"/>
        <w:tblCellMar>
          <w:top w:w="28" w:type="dxa"/>
          <w:left w:w="28" w:type="dxa"/>
          <w:bottom w:w="28" w:type="dxa"/>
          <w:right w:w="28" w:type="dxa"/>
        </w:tblCellMar>
      </w:tblPr>
      <w:tblGrid>
        <w:gridCol w:w="3751"/>
        <w:gridCol w:w="146"/>
        <w:gridCol w:w="211"/>
        <w:gridCol w:w="586"/>
        <w:gridCol w:w="146"/>
        <w:gridCol w:w="146"/>
        <w:gridCol w:w="211"/>
        <w:gridCol w:w="586"/>
        <w:gridCol w:w="146"/>
        <w:gridCol w:w="146"/>
        <w:gridCol w:w="211"/>
        <w:gridCol w:w="586"/>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Personnel-related (excluding equity-based</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720"/>
        <w:jc w:val="left"/>
        <w:rPr>
          <w:rFonts w:ascii="Arial" w:hAnsi="Arial"/>
          <w:color w:val="000000"/>
          <w:sz w:val="20"/>
        </w:rPr>
      </w:pPr>
      <w:r>
        <w:rPr>
          <w:rFonts w:ascii="Arial" w:hAnsi="Arial"/>
          <w:color w:val="000000"/>
          <w:sz w:val="20"/>
        </w:rPr>
        <w:t>Total general and administrative expenses were $5.7 million for the three months ended June 30, 2026, compared to $3.2 million for the three months ended June 30, 2025. The $2.5 million increase was primarily due to an increase in personnel-related costs and equity-based compensation of $0.2 million and $0.7 million, respectively, driven by an increase in average headcount as well as an increase in professional service fees and other administrative fees of $1.6 million.</w:t>
      </w:r>
    </w:p>
    <w:p>
      <w:pPr>
        <w:pStyle w:val="TextBody"/>
        <w:bidi w:val="0"/>
        <w:spacing w:before="360" w:after="283"/>
        <w:jc w:val="left"/>
        <w:rPr>
          <w:rFonts w:ascii="Arial" w:hAnsi="Arial"/>
          <w:i/>
          <w:color w:val="000000"/>
          <w:sz w:val="20"/>
        </w:rPr>
      </w:pPr>
      <w:r>
        <w:rPr>
          <w:rFonts w:ascii="Arial" w:hAnsi="Arial"/>
          <w:i/>
          <w:color w:val="000000"/>
          <w:sz w:val="20"/>
        </w:rPr>
        <w:t>Other Income (Expense), Net</w:t>
      </w:r>
    </w:p>
    <w:p>
      <w:pPr>
        <w:pStyle w:val="TextBody"/>
        <w:bidi w:val="0"/>
        <w:spacing w:before="120" w:after="283"/>
        <w:ind w:left="0" w:right="0" w:firstLine="720"/>
        <w:jc w:val="left"/>
        <w:rPr>
          <w:rFonts w:ascii="Arial" w:hAnsi="Arial"/>
          <w:color w:val="000000"/>
          <w:sz w:val="20"/>
        </w:rPr>
      </w:pPr>
      <w:r>
        <w:rPr>
          <w:rFonts w:ascii="Arial" w:hAnsi="Arial"/>
          <w:color w:val="000000"/>
          <w:sz w:val="20"/>
        </w:rPr>
        <w:t>Other income (expense), net for the three months ended June 30, 2026 and 2025 were net income of $2.0 million and $3.8 million, respectively. The $1.8 million decrease was primarily related to foreign currency losses recognized due to unfavorable movements between the currencies which we regularly transact in, including DKK, Euros, British Pounds and our functional currency, the U.S. Dollar, and the higher cash balance in marketable securities from proceeds of the IPO. This was offset by an increase in interest income of $2.5 million due to an increase in accretion income related to our available-for-sale debt securities.</w:t>
      </w:r>
    </w:p>
    <w:p>
      <w:pPr>
        <w:pStyle w:val="TextBody"/>
        <w:bidi w:val="0"/>
        <w:spacing w:before="360" w:after="283"/>
        <w:jc w:val="left"/>
        <w:rPr>
          <w:rFonts w:ascii="Arial" w:hAnsi="Arial"/>
          <w:b/>
          <w:i/>
          <w:color w:val="000000"/>
          <w:sz w:val="20"/>
        </w:rPr>
      </w:pPr>
      <w:r>
        <w:rPr>
          <w:rFonts w:ascii="Arial" w:hAnsi="Arial"/>
          <w:b/>
          <w:i/>
          <w:color w:val="000000"/>
          <w:sz w:val="20"/>
        </w:rPr>
        <w:t>Comparison of the Six Months Ended June 30, 2026 and 2025</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following table summarizes our results of operations for the periods presented (in thousands):</w:t>
      </w:r>
      <w:r>
        <w:rPr>
          <w:rFonts w:ascii="Times New Roman" w:hAnsi="Times New Roman"/>
          <w:color w:val="000000"/>
          <w:sz w:val="20"/>
        </w:rPr>
        <w:t xml:space="preserve"> </w:t>
      </w:r>
    </w:p>
    <w:tbl>
      <w:tblPr>
        <w:tblW w:w="8148" w:type="dxa"/>
        <w:jc w:val="left"/>
        <w:tblInd w:w="0" w:type="dxa"/>
        <w:tblLayout w:type="fixed"/>
        <w:tblCellMar>
          <w:top w:w="28" w:type="dxa"/>
          <w:left w:w="28" w:type="dxa"/>
          <w:bottom w:w="28" w:type="dxa"/>
          <w:right w:w="28" w:type="dxa"/>
        </w:tblCellMar>
      </w:tblPr>
      <w:tblGrid>
        <w:gridCol w:w="3721"/>
        <w:gridCol w:w="146"/>
        <w:gridCol w:w="211"/>
        <w:gridCol w:w="751"/>
        <w:gridCol w:w="166"/>
        <w:gridCol w:w="146"/>
        <w:gridCol w:w="211"/>
        <w:gridCol w:w="751"/>
        <w:gridCol w:w="166"/>
        <w:gridCol w:w="146"/>
        <w:gridCol w:w="211"/>
        <w:gridCol w:w="751"/>
        <w:gridCol w:w="77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4,252</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17,074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(17,074</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(19,027</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(19,322</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ind w:left="0" w:right="0" w:firstLine="475"/>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following table summarizes our research and development expenses for the periods presented (in thousands):</w:t>
      </w:r>
      <w:r>
        <w:rPr>
          <w:rFonts w:ascii="Times New Roman" w:hAnsi="Times New Roman"/>
          <w:color w:val="000000"/>
          <w:sz w:val="20"/>
        </w:rPr>
        <w:t xml:space="preserve"> </w:t>
      </w:r>
    </w:p>
    <w:tbl>
      <w:tblPr>
        <w:tblW w:w="8758" w:type="dxa"/>
        <w:jc w:val="left"/>
        <w:tblInd w:w="0" w:type="dxa"/>
        <w:tblLayout w:type="fixed"/>
        <w:tblCellMar>
          <w:top w:w="28" w:type="dxa"/>
          <w:left w:w="28" w:type="dxa"/>
          <w:bottom w:w="28" w:type="dxa"/>
          <w:right w:w="28" w:type="dxa"/>
        </w:tblCellMar>
      </w:tblPr>
      <w:tblGrid>
        <w:gridCol w:w="4711"/>
        <w:gridCol w:w="286"/>
        <w:gridCol w:w="211"/>
        <w:gridCol w:w="691"/>
        <w:gridCol w:w="146"/>
        <w:gridCol w:w="146"/>
        <w:gridCol w:w="211"/>
        <w:gridCol w:w="691"/>
        <w:gridCol w:w="146"/>
        <w:gridCol w:w="146"/>
        <w:gridCol w:w="211"/>
        <w:gridCol w:w="691"/>
        <w:gridCol w:w="471"/>
      </w:tblGrid>
      <w:tr>
        <w:trPr/>
        <w:tc>
          <w:tcPr>
            <w:tcW w:w="47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research and development costs by product</w:t>
              <w:br/>
              <w:t>   candidate: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sutacimig</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HMB-002</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HMB-003</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costs: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Personnel-related (excluding equity-based</w:t>
              <w:br/>
              <w:t>   compensation)</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Equity-based compensation</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Discovery and other</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720"/>
        <w:jc w:val="left"/>
        <w:rPr>
          <w:rFonts w:ascii="Arial" w:hAnsi="Arial"/>
          <w:color w:val="000000"/>
          <w:sz w:val="20"/>
        </w:rPr>
      </w:pPr>
      <w:r>
        <w:rPr>
          <w:rFonts w:ascii="Arial" w:hAnsi="Arial"/>
          <w:color w:val="000000"/>
          <w:sz w:val="20"/>
        </w:rPr>
        <w:t>Total research and development expenses were $39.8 million for the six months ended June 30, 2026, compared to $27.0 million for the six months ended June 30, 2025. The $12.8 million increase in research and development expenses for the six months ended June 30, 2026 was primarily due to an increase of $3.8 million in external research and development costs for our drug product candidates inclusive of a $3.1 million increase in HMB-003 costs, a $5.9 million increase in personnel-related costs and equity-based compensation and an increase of $3.1 million in discovery and other costs related to adding consultancy resources for medical and clinical operations.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External research and development expenses related to sutacimig for the six months ended June 30, 2026 and 2025 were $11.2 million and $10.6 million, respectively. The increase of $0.6 million for the six months ended June 30, 2026 was primarily driven by increased CMC costs.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External research and development expenses related to HMB-002 for the six months ended June 30, 2026 and 2025 were $6.5 million and $6.4 million, respectively. The increase of $0.1 million for the six months ended June 30, 2026 was primarily driven by clinical development costs related to the ongoing Phase 1/2 clinical trial of HMB-002 during the six months ended June 30, 2026 as compared to the six months ended June 30, 2025.</w:t>
      </w:r>
    </w:p>
    <w:p>
      <w:pPr>
        <w:pStyle w:val="TextBody"/>
        <w:bidi w:val="0"/>
        <w:spacing w:before="240" w:after="283"/>
        <w:ind w:left="0" w:right="0" w:firstLine="720"/>
        <w:jc w:val="left"/>
        <w:rPr>
          <w:rFonts w:ascii="Arial" w:hAnsi="Arial"/>
          <w:color w:val="000000"/>
          <w:sz w:val="20"/>
        </w:rPr>
      </w:pPr>
      <w:r>
        <w:rPr>
          <w:rFonts w:ascii="Arial" w:hAnsi="Arial"/>
          <w:color w:val="000000"/>
          <w:sz w:val="20"/>
        </w:rPr>
        <w:t>External research and development expenses related to HMB-003 for the six months ended June 30, 2026 and 2025 were $3.9 million and $0.8 million, respectively. The increase of $3.1 million for the six months ended June 30, 2026 was primarily driven by increased non-clinical and CMC development related to the HMB-003 program during the six months ended June 30, 2026 as compared to primarily pre-clinical development costs in the six months ended June 30, 2025.</w:t>
      </w:r>
    </w:p>
    <w:p>
      <w:pPr>
        <w:pStyle w:val="TextBody"/>
        <w:bidi w:val="0"/>
        <w:spacing w:before="240" w:after="283"/>
        <w:ind w:left="0" w:right="0" w:firstLine="720"/>
        <w:jc w:val="left"/>
        <w:rPr>
          <w:rFonts w:ascii="Arial" w:hAnsi="Arial"/>
          <w:color w:val="000000"/>
          <w:sz w:val="20"/>
        </w:rPr>
      </w:pPr>
      <w:r>
        <w:rPr>
          <w:rFonts w:ascii="Arial" w:hAnsi="Arial"/>
          <w:color w:val="000000"/>
          <w:sz w:val="20"/>
        </w:rPr>
        <w:t>Personnel-related expenses and equity-based compensation increased by $4.8 million and $1.2 million in the six months ended June 30, 2026, respectively, compared to the six months ended June 30, 2025, primarily driven by a significant increase in average headcount across clinical development, CMC, and clinical operations related to the pursuit of identifying and developing product candidates.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Discovery and other costs increased by $3.1 million for the six months ended June 30, 2026 compared to the six months ended June 30, 2025, primarily driven by an increase in discovery activities and consultancy expense related to clinical operations, clinical research, and regulatory research.</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following table summarizes our general and administrative expenses for the periods presented (in thousands):</w:t>
      </w:r>
      <w:r>
        <w:rPr>
          <w:rFonts w:ascii="Times New Roman" w:hAnsi="Times New Roman"/>
          <w:color w:val="000000"/>
          <w:sz w:val="20"/>
        </w:rPr>
        <w:t xml:space="preserve"> </w:t>
      </w:r>
    </w:p>
    <w:p>
      <w:pPr>
        <w:pStyle w:val="TextBody"/>
        <w:bidi w:val="0"/>
        <w:jc w:val="left"/>
        <w:rPr/>
      </w:pPr>
      <w:r>
        <w:rPr/>
        <w:t> </w:t>
      </w:r>
    </w:p>
    <w:tbl>
      <w:tblPr>
        <w:tblW w:w="7063" w:type="dxa"/>
        <w:jc w:val="left"/>
        <w:tblInd w:w="0" w:type="dxa"/>
        <w:tblLayout w:type="fixed"/>
        <w:tblCellMar>
          <w:top w:w="28" w:type="dxa"/>
          <w:left w:w="28" w:type="dxa"/>
          <w:bottom w:w="28" w:type="dxa"/>
          <w:right w:w="28" w:type="dxa"/>
        </w:tblCellMar>
      </w:tblPr>
      <w:tblGrid>
        <w:gridCol w:w="3751"/>
        <w:gridCol w:w="146"/>
        <w:gridCol w:w="211"/>
        <w:gridCol w:w="586"/>
        <w:gridCol w:w="146"/>
        <w:gridCol w:w="146"/>
        <w:gridCol w:w="211"/>
        <w:gridCol w:w="586"/>
        <w:gridCol w:w="146"/>
        <w:gridCol w:w="146"/>
        <w:gridCol w:w="211"/>
        <w:gridCol w:w="586"/>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Personnel-related (excluding equity-based</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720"/>
        <w:jc w:val="left"/>
        <w:rPr>
          <w:rFonts w:ascii="Arial" w:hAnsi="Arial"/>
          <w:color w:val="000000"/>
          <w:sz w:val="20"/>
        </w:rPr>
      </w:pPr>
      <w:r>
        <w:rPr>
          <w:rFonts w:ascii="Arial" w:hAnsi="Arial"/>
          <w:color w:val="000000"/>
          <w:sz w:val="20"/>
        </w:rPr>
        <w:t>Total general and administrative expenses were $9.9 million for the six months ended June 30, 2026, compared to $5.6 million for the six months ended June 30, 2025. The $4.3 million increase was primarily due to an increase in personnel-related costs and equity-based compensation of $0.5 million and $1.2 million, respectively, driven by an increase in average headcount as well as an increase in professional service fees and other administrative fees of $2.6 million.</w:t>
      </w:r>
    </w:p>
    <w:p>
      <w:pPr>
        <w:pStyle w:val="TextBody"/>
        <w:bidi w:val="0"/>
        <w:spacing w:before="360" w:after="283"/>
        <w:jc w:val="left"/>
        <w:rPr>
          <w:rFonts w:ascii="Arial" w:hAnsi="Arial"/>
          <w:i/>
          <w:color w:val="000000"/>
          <w:sz w:val="20"/>
        </w:rPr>
      </w:pPr>
      <w:r>
        <w:rPr>
          <w:rFonts w:ascii="Arial" w:hAnsi="Arial"/>
          <w:i/>
          <w:color w:val="000000"/>
          <w:sz w:val="20"/>
        </w:rPr>
        <w:t>Other Income (Expense), Net</w:t>
      </w:r>
    </w:p>
    <w:p>
      <w:pPr>
        <w:pStyle w:val="TextBody"/>
        <w:bidi w:val="0"/>
        <w:spacing w:before="120" w:after="283"/>
        <w:ind w:left="0" w:right="0" w:firstLine="720"/>
        <w:jc w:val="left"/>
        <w:rPr>
          <w:rFonts w:ascii="Arial" w:hAnsi="Arial"/>
          <w:color w:val="000000"/>
          <w:sz w:val="20"/>
        </w:rPr>
      </w:pPr>
      <w:r>
        <w:rPr>
          <w:rFonts w:ascii="Arial" w:hAnsi="Arial"/>
          <w:color w:val="000000"/>
          <w:sz w:val="20"/>
        </w:rPr>
        <w:t>Other income (expense), net for the six months ended June 30, 2026 and 2025 were net income of $3.0 million and $4.9 million, respectively. The $1.9 million decrease was primarily related to foreign currency losses recognized due to unfavorable movements between the currencies which we regularly transact in, including DKK, Euros, British Pounds and our functional currency, the U.S. Dollar, and the higher cash balance in marketable securities from proceeds of the IPO. This was offset by an increase in interest income of $3.3 million due to an increase in accretion income related to our available-for-sale debt securities.</w:t>
      </w:r>
    </w:p>
    <w:p>
      <w:pPr>
        <w:pStyle w:val="TextBody"/>
        <w:bidi w:val="0"/>
        <w:spacing w:before="36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120" w:after="283"/>
        <w:jc w:val="left"/>
        <w:rPr>
          <w:rFonts w:ascii="Times New Roman" w:hAnsi="Times New Roman"/>
          <w:sz w:val="20"/>
        </w:rPr>
      </w:pPr>
      <w:r>
        <w:rPr>
          <w:rFonts w:ascii="Arial" w:hAnsi="Arial"/>
          <w:b/>
          <w:i/>
          <w:color w:val="000000"/>
          <w:sz w:val="20"/>
        </w:rPr>
        <w:t>Sources of Liquidity</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Since our inception, we have incurred significant operating losses. To date, we have financed our operations primarily through private placements of convertible preference shares and issuance of convertible debt and from the sale of common stock in our IPO in May 2026. Through June 30, 2026, we have received aggregate gross proceeds of approximately $692.7 million from such transactions.</w:t>
      </w:r>
    </w:p>
    <w:p>
      <w:pPr>
        <w:pStyle w:val="TextBody"/>
        <w:bidi w:val="0"/>
        <w:spacing w:before="36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The following table provides information regarding our cash flows for the periods presented (in thousands):</w:t>
      </w:r>
    </w:p>
    <w:p>
      <w:pPr>
        <w:pStyle w:val="TextBody"/>
        <w:bidi w:val="0"/>
        <w:jc w:val="left"/>
        <w:rPr/>
      </w:pPr>
      <w:r>
        <w:rPr/>
        <w:t> </w:t>
      </w:r>
    </w:p>
    <w:tbl>
      <w:tblPr>
        <w:tblW w:w="8863" w:type="dxa"/>
        <w:jc w:val="left"/>
        <w:tblInd w:w="0" w:type="dxa"/>
        <w:tblLayout w:type="fixed"/>
        <w:tblCellMar>
          <w:top w:w="28" w:type="dxa"/>
          <w:left w:w="28" w:type="dxa"/>
          <w:bottom w:w="28" w:type="dxa"/>
          <w:right w:w="28" w:type="dxa"/>
        </w:tblCellMar>
      </w:tblPr>
      <w:tblGrid>
        <w:gridCol w:w="4786"/>
        <w:gridCol w:w="146"/>
        <w:gridCol w:w="211"/>
        <w:gridCol w:w="856"/>
        <w:gridCol w:w="166"/>
        <w:gridCol w:w="146"/>
        <w:gridCol w:w="211"/>
        <w:gridCol w:w="751"/>
        <w:gridCol w:w="166"/>
        <w:gridCol w:w="146"/>
        <w:gridCol w:w="211"/>
        <w:gridCol w:w="856"/>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317,178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exchange rate changes on cash and</w:t>
              <w:br/>
              <w:t>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162,309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cash flows from operating activities are significantly influenced by our use of cash for operating expenses and working capital requirements to support our business. We have historically experienced negative cash flows from operating activities as we invested in the research and development of our product candidates and programs, including preclinical studies, clinical trials, manufacturing and manufacturing process development. The cash used in operating activities resulted primarily from our net losses adjusted for non-cash charges, which are generally due to equity-based compensation, depreciation and amortization and non-cash lease expense, non-cash interest income, as well as changes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in components of operating assets and liabilities, which are generally due to increased expenses and timing of vendor payments.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During the six months ended June 30, 2026, net cash used in operating activities was $44.2 million, due to a net loss of $46.8 million, which was partially offset by changes in operating assets and liabilities that provided $1.0 million in cash and net non-cash expenses of $1.6 million.</w:t>
      </w:r>
    </w:p>
    <w:p>
      <w:pPr>
        <w:pStyle w:val="TextBody"/>
        <w:bidi w:val="0"/>
        <w:spacing w:before="240" w:after="283"/>
        <w:ind w:left="0" w:right="0" w:firstLine="720"/>
        <w:jc w:val="left"/>
        <w:rPr>
          <w:rFonts w:ascii="Arial" w:hAnsi="Arial"/>
          <w:color w:val="000000"/>
          <w:sz w:val="20"/>
        </w:rPr>
      </w:pPr>
      <w:r>
        <w:rPr>
          <w:rFonts w:ascii="Arial" w:hAnsi="Arial"/>
          <w:color w:val="000000"/>
          <w:sz w:val="20"/>
        </w:rPr>
        <w:t>During the six months ended June 30, 2025, net cash used in operating activities was $28.4 million, due to a net loss of  $27.6 million, in addition to changes in operating assets and liabilities that used $0.9 million in cash, partially offset by net non-cash expenses of $0.1 million.</w:t>
      </w:r>
    </w:p>
    <w:p>
      <w:pPr>
        <w:pStyle w:val="TextBody"/>
        <w:bidi w:val="0"/>
        <w:spacing w:before="360" w:after="283"/>
        <w:jc w:val="left"/>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During the six months ended June 30, 2026, net cash used in investing activities was $123.3 million, which primarily consisted of purchases of marketable securities and property and equipment, which were partially offset by maturities of marketable securities.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During the six months ended June 30, 2025, net cash provided by investing activities was $15.5 million, which primarily consisted of maturities of marketable securities, which were partially offset by purchases of marketable securities.</w:t>
      </w:r>
    </w:p>
    <w:p>
      <w:pPr>
        <w:pStyle w:val="TextBody"/>
        <w:bidi w:val="0"/>
        <w:spacing w:before="360" w:after="283"/>
        <w:jc w:val="left"/>
        <w:rPr>
          <w:rFonts w:ascii="Arial" w:hAnsi="Arial"/>
          <w:i/>
          <w:color w:val="000000"/>
          <w:sz w:val="20"/>
        </w:rPr>
      </w:pPr>
      <w:r>
        <w:rPr>
          <w:rFonts w:ascii="Arial" w:hAnsi="Arial"/>
          <w:i/>
          <w:color w:val="000000"/>
          <w:sz w:val="20"/>
        </w:rPr>
        <w:t>Financing Activities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During the six months ended June 30, 2026, net cash provided by financing activities was $317.2 million related to proceeds from the issuance of common stock in the IPO after deducting underwriting discounts and commissions and offering expenses of $29.6 million.</w:t>
      </w:r>
    </w:p>
    <w:p>
      <w:pPr>
        <w:pStyle w:val="TextBody"/>
        <w:bidi w:val="0"/>
        <w:spacing w:before="240" w:after="283"/>
        <w:ind w:left="0" w:right="0" w:firstLine="720"/>
        <w:jc w:val="left"/>
        <w:rPr>
          <w:rFonts w:ascii="Arial" w:hAnsi="Arial"/>
          <w:color w:val="000000"/>
          <w:sz w:val="20"/>
        </w:rPr>
      </w:pPr>
      <w:r>
        <w:rPr>
          <w:rFonts w:ascii="Arial" w:hAnsi="Arial"/>
          <w:color w:val="000000"/>
          <w:sz w:val="20"/>
        </w:rPr>
        <w:t>During the six months ended June 30, 2025, net cash used in financing activities was less than $0.1 million, related to principal payments on finance lease obligations.</w:t>
      </w:r>
    </w:p>
    <w:p>
      <w:pPr>
        <w:pStyle w:val="TextBody"/>
        <w:bidi w:val="0"/>
        <w:spacing w:before="360" w:after="283"/>
        <w:jc w:val="left"/>
        <w:rPr>
          <w:rFonts w:ascii="Times New Roman" w:hAnsi="Times New Roman"/>
          <w:sz w:val="20"/>
        </w:rPr>
      </w:pPr>
      <w:r>
        <w:rPr>
          <w:rFonts w:ascii="Arial" w:hAnsi="Arial"/>
          <w:b/>
          <w:i/>
          <w:color w:val="000000"/>
          <w:sz w:val="20"/>
        </w:rPr>
        <w:t>Funding Requirements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expect our expenses to increase substantially in connection with our ongoing and planned activities, particularly as we advance sutacimig into late-stage clinical development in patients with Glanzmann thrombasthenia and continue its clinical development in patients with Factor VII deficiency, continue the clinical development of HMB-002 in patients with Von Willebrand Disease, and initiate clinical trials of HMB-003 in heavy menstrual bleeding, continue research and development and initiate additional clinical trials of, and seek marketing approval for, these and other product candidates. In addition, if we obtain marketing approval for our product candidates and any other product candidates we may identify and pursue, we expect to incur significant commercialization expenses related to product manufacturing, sales, marketing and distribution. Furthermore, we expect to incur additional costs associated with operating as a public company. As a result, we expect to continue to incur significant operating expenses and net losses for the foreseeable future.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As of June 30, 2026, we had total cash, cash equivalents and marketable securities of $457.5 million. We believe that our existing cash, cash equivalents and marketable securities will enable us to fund our operating expenses and capital expenditure requirements into 2029. We have based this estimate on assumptions that may prove to be wrong, and we could exhaust our available capital resources sooner than we expect.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Because of the numerous risks and uncertainties associated with product development, and because the extent to which we may enter into collaborations with third-parties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We anticipate that our expenses will increase substantially if and as we:</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to advance the clinical development of our product candidates, including our ongoing clinical development of sutacimig in patients with Glanzmann thrombasthenia and Factor VII deficiency, our ongoing clinical development of HMB-002 in patients with Von Willebrand Disease, as well as HMB-003 and any other product candidates that we may develop;</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to advance our research and preclinical activities and seek to discover and develop additional product candidates;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regulatory and marketing approvals for any of our product candidates that successfully complete clinical trials;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ultimately establish a sales, marketing, medical affairs and distribution infrastructure to commercialize any products for which we may obtain marketing approval;</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to develop, maintain, expand and protect our intellectual property portfolio (including intellectual property obtained through license agreements) and provide reimbursement of third-party expenses related to our patent portfolio;</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acquire or in-license products, product candidates or technologies;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or maintain collaborations;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expand, enforce, defend and protect our intellectual property;</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clinical, medical, regulatory, quality control, manufacturing and other scientific and technical personnel;</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 operational, financial, clinical, quality and management information systems and personnel, including personnel to support our product development and planned future commercialization efforts of our product candidates and our operations as a public company;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incur additional audit, legal, regulatory, tax and other expenses with being a public company;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make any milestone, royalty, or other payments under the Novo Nordisk Agreement, under the Genmab Agreement, under the Gubra Agreement, and under any additional future collaboration or license agreements that we may enter into.</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addition, our expenses will further increase if, among other things:</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required by the U.S. Food and Drug Administration, the European Medicines Agency, or other regulatory authorities to perform clinical trials or preclinical studies that are in addition to, or different than, those expected;</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are any delays in completing our clinical trials or preclinical studies or the development of any of our product candidates; or</w:t>
      </w:r>
    </w:p>
    <w:p>
      <w:pPr>
        <w:pStyle w:val="TextBody"/>
        <w:bidi w:val="0"/>
        <w:spacing w:before="0" w:after="0"/>
        <w:ind w:left="720" w:right="0" w:hanging="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there are any third-party challenges to our intellectual property or we need to defend against any intellectual property-related claim.</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If we are unable to raise this capital when needed, we may be forced to delay, limit, reduce or eliminate one or more of our research and development programs or other operations.</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Adequate additional funds may not be available to us on acceptable terms, or at all. We do not have any source of committed capital or external funds. To the extent that we raise additional capital through the sale of equity or convertible debt securities, your ownership interest will be diluted, and the terms of these securities may include liquidation or other preferences that adversely affect your rights as stockholder. Additional debt financing and preferred equity financing, if available, may involve agreements that include covenants limiting or restricting our ability to take specific actions, such as incurring debt, selling or licensing our assets, making capital expenditures or declaring dividends or encumbering our assets to secure future indebtedness. If we raise additional funds through equity offerings, debt financings, royalty financings, collaborations, strategic alliances and marketing, distribution or licensing arrangements, we may have to relinquish valuable rights to our technologies, future revenue streams, research programs or development product candidates or grant licenses on terms that may not be favorable to us. If we are unable to raise additional funds when needed or on terms acceptable to us, we may be required to delay, limit, reduce or terminate our product development programs or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For additional information on risks associated with our substantial capital requirements, please see “</w:t>
      </w:r>
      <w:r>
        <w:rPr>
          <w:rFonts w:ascii="Arial" w:hAnsi="Arial"/>
          <w:i/>
          <w:color w:val="000000"/>
          <w:sz w:val="20"/>
        </w:rPr>
        <w:t>Risk Factors — We will need substantial additional funding. If we are unable to raise capital on acceptable terms when needed, or at all, we could be forced to delay, reduce or eliminate our product development programs or commercialization efforts</w:t>
      </w:r>
      <w:r>
        <w:rPr>
          <w:rFonts w:ascii="Arial" w:hAnsi="Arial"/>
          <w:color w:val="000000"/>
          <w:sz w:val="20"/>
        </w:rPr>
        <w:t>.”</w:t>
      </w:r>
    </w:p>
    <w:p>
      <w:pPr>
        <w:pStyle w:val="TextBody"/>
        <w:bidi w:val="0"/>
        <w:spacing w:before="360" w:after="283"/>
        <w:jc w:val="left"/>
        <w:rPr>
          <w:rFonts w:ascii="Times New Roman" w:hAnsi="Times New Roman"/>
          <w:sz w:val="20"/>
        </w:rPr>
      </w:pPr>
      <w:r>
        <w:rPr>
          <w:rFonts w:ascii="Arial" w:hAnsi="Arial"/>
          <w:b/>
          <w:i/>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Leases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In January 2023, we entered into a finance lease for certain laboratory equipment in Copenhagen, Denmark. The laboratory equipment was classified as a finance lease due to the existence of a bargain purchase option in the lease agreement. In connection with this lease, we recorded a finance lease right-of-use asset and finance lease liability of approximately $0.5 million.</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September 2023, we entered into a non-cancelable operating lease for office space in Cambridge, Massachusetts. The lease requires us to pay annual base rent of approximately $0.4 million, which is subject to a 2% annual increase over the term of the lease. The lease expires in October 2026 and contains a two-year renewal option.</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March 2024, we entered into an operating sublease for office and laboratory space in Copenhagen, Denmark. The lease requires us to pay annual base rent of approximately $0.3 million, which is subject to a 3% annual increase over the term of the lease. The lease expires in February 2029 and contains a one-year renewal option.</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April 2026, we entered into a non-cancelable operating sublease for additional office space in Copenhagen, Denmark. The lease requires us to pay annual base rent of less than $0.1 million, which is subject to a 3% annual increase over the term of the lease. The lease expires in April 2031.</w:t>
      </w:r>
    </w:p>
    <w:p>
      <w:pPr>
        <w:pStyle w:val="TextBody"/>
        <w:bidi w:val="0"/>
        <w:spacing w:before="240" w:after="283"/>
        <w:ind w:left="0" w:right="0" w:firstLine="720"/>
        <w:jc w:val="left"/>
        <w:rPr>
          <w:rFonts w:ascii="Arial" w:hAnsi="Arial"/>
          <w:color w:val="000000"/>
          <w:sz w:val="20"/>
        </w:rPr>
      </w:pPr>
      <w:r>
        <w:rPr>
          <w:rFonts w:ascii="Arial" w:hAnsi="Arial"/>
          <w:color w:val="000000"/>
          <w:sz w:val="20"/>
        </w:rPr>
        <w:t>For additional information on our future commitments relating to our leasing obligations, see Note 9, “Leases” of the “Notes to Consolidated Financial Statements” in the audited consolidated financial statements for the year ended December 31, 2025 and notes thereto, included in our final prospectus filed pursuant to Rule 424(b)(4) under the Securities Act with the SEC on May 1, 2026.</w:t>
      </w:r>
    </w:p>
    <w:p>
      <w:pPr>
        <w:pStyle w:val="TextBody"/>
        <w:bidi w:val="0"/>
        <w:spacing w:before="360" w:after="283"/>
        <w:jc w:val="left"/>
        <w:rPr>
          <w:rFonts w:ascii="Times New Roman" w:hAnsi="Times New Roman"/>
          <w:sz w:val="20"/>
        </w:rPr>
      </w:pPr>
      <w:r>
        <w:rPr>
          <w:rFonts w:ascii="Arial" w:hAnsi="Arial"/>
          <w:i/>
          <w:color w:val="000000"/>
          <w:sz w:val="20"/>
        </w:rPr>
        <w:t>Purchase and Other Obligations</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We enter into contracts in the normal course of business with CROs, CMOs and other third-parties for preclinical research studies, clinical trials and testing and manufacturing services. These contracts typically do not contain minimum purchase commitments and are cancellable by us upon written notice. Payments due upon cancellation generally consist of payments for services provided or expenses incurred up to the date of cancellation, including non-cancelable obligations of our service providers and, in some cases, wind-down costs. Our license and collaboration agreements include potential milestone payments, royalties and other obligations that are dependent upon the development of products using the intellectual property licensed under the agreement and contingent upon the achievement of regulatory milestones. The potential obligations in our license agreements are contingent upon future events and the timing and likelihood of such potential obligations are not known with certainty. For further information regarding certain of our license agreements and amounts that could become payable in the future under those agreements, please see Note 8 in our condensed consolidated financial statements appearing elsewhere in this Quarterly Report and "License Agreements" below.</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License Agreements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Below is a summary of the key terms for certain of our license agreements.</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License Agreement with Novo Nordisk</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November 2019, we entered into a license agreement with Novo Nordisk A/S, or Novo Nordisk, pursuant to which Novo Nordisk granted us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or Novo Licensed Products, containing bispecific IgG antibodies targeting TLT-1 and Factor VII, including sutacimig, for the treatment of bleeding conditions, including hemophilia. We refer to this agreement as the Novo Nordisk Agreement. Under the terms of the Novo Nordisk Agreement, we have agreed to use commercially reasonable efforts to develop and commercialize a Novo Licensed Product.</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We are obligated to pay to Novo Nordisk a one-time DKK 40 million milestone payment upon achievement by a Novo Licensed Product of a specified regulatory milestone event, and we are also 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We currently expect that all of the licensed patents under the Novo Nordisk Agreement will expire by 2040, potentially extending to 2045 with patent term extension. To date, we have not made any payments to Novo Nordisk under the Novo Nordisk Agreement. Under the Novo Nordisk Agreement, we initially granted to Novo Nordisk a right of first negotiation, following a specified clinical event and during a specified period of time, to obtain a license back from us to exploit Novo Licensed Products if we determined to engage with a third party with respect to a license of any Novo Licensed Products. However, Novo Nordisk’s right of first negotiation under the Novo Nordisk Agreement has expired.</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 Novo Nordisk Agreement will continue in force until it is terminated. On expiration of each royalty term, our license becomes royalty-free, perpetual, and irrevocable with respect to the applicable Novo Licensed Product in the applicable country. Either party may terminate the Novo Nordisk Agreement for the other party’s uncured material breach or insolvency. We may terminate the Novo Nordisk Agreement for any reason upon 90 days’ written notice to Novo Nordisk. In the event that Novo Nordisk regains control of the exclusive right to exploit the Novo Licensed Product, the Novo Nordisk Agreement will automatically terminate.</w:t>
      </w:r>
    </w:p>
    <w:p>
      <w:pPr>
        <w:pStyle w:val="TextBody"/>
        <w:bidi w:val="0"/>
        <w:spacing w:before="360" w:after="283"/>
        <w:jc w:val="left"/>
        <w:rPr>
          <w:rFonts w:ascii="Arial" w:hAnsi="Arial"/>
          <w:b/>
          <w:i/>
          <w:color w:val="000000"/>
          <w:sz w:val="20"/>
        </w:rPr>
      </w:pPr>
      <w:r>
        <w:rPr>
          <w:rFonts w:ascii="Arial" w:hAnsi="Arial"/>
          <w:b/>
          <w:i/>
          <w:color w:val="000000"/>
          <w:sz w:val="20"/>
        </w:rPr>
        <w:t>License Agreement with Genmab</w:t>
      </w:r>
    </w:p>
    <w:p>
      <w:pPr>
        <w:pStyle w:val="TextBody"/>
        <w:bidi w:val="0"/>
        <w:spacing w:before="120" w:after="283"/>
        <w:ind w:left="0" w:right="0" w:firstLine="720"/>
        <w:jc w:val="left"/>
        <w:rPr>
          <w:rFonts w:ascii="Arial" w:hAnsi="Arial"/>
          <w:color w:val="000000"/>
          <w:sz w:val="20"/>
        </w:rPr>
      </w:pPr>
      <w:r>
        <w:rPr>
          <w:rFonts w:ascii="Arial" w:hAnsi="Arial"/>
          <w:color w:val="000000"/>
          <w:sz w:val="20"/>
        </w:rPr>
        <w:t>In April 2020, we entered into a license agreement with Genmab A/S, or Genmab, pursuant to which Genmab granted us an exclusive (even as to Genmab and its affiliates), worldwide and sublicensable license under platform technology patent rights and know-how relating to Genmab’s proprietary DuoBody® platform to research, develop, make, have made, use, manufacture, import, export and commercialize products, comprising bispecific IgG antibodies targeting TLT-1 and Factor VII, or TLT-1/Factor VII Antibody Products, including sutacimig, for the treatment of bleeding conditions, including hemophilia. Under the terms of the Genmab Agreement, we have agreed to use commercially reasonable efforts to develop, manufacture, obtain regulatory approval for and commercialize TLT-1/Factor VII Antibody Products worldwide.</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Under the Genmab Agreement, we are obligated to pay Genmab a percentage of all net profit (i.e., revenue and other proceeds less specified direct costs we incur to conduct research, development, manufacture and commercialization of TLT-1/Factor VII Antibody Products) we or our affiliates receive with respect to any TLT-1/Factor VII Antibody Products, including (1) 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we or our affiliates receive if we undergo a change of control (other than an acquisition by Novo Nordisk). The percentage of net profit we owe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we owe with respect to such TLT-1/Factor VII Antibody Product is in the high single digits in all territories in which we commercialize such TLT-1/Factor VII Antibody Product and in the mid-teens in all territories in which a third party, other than Novo Nordisk, commercializes such TLT-1/Factor VII Antibody Product. We are obligated to pay such percentage of net profit on a country-by-country and TLT-1/Factor VII Antibody Product-by-TLT-1/Factor VII Antibody Product basis until the later of the expiration of the last-to-expire of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platform technology patent rights licensed under the Genmab Agreement covering such TLT-1/Factor VII Antibody Product in such country and twelve years following the first commercial sale of such TLT-1/Factor VII Antibody Product in such country, which we refer to as the net profit share term. Following the expiration of the last-to-expire of the platform technology patent rights licensed under the Genmab Agreement covering a given TLT-1/Factor VII Antibody Product in a given country, the percentage of net profit that we are obligated to pay with respect to sales of such TLT-1/Factor VII Antibody Product in such country will be reduced by a specified percentage for the remainder of the net profit share term for such TLT-1/Factor VII Antibody Product in such country. We currently expect that all of the platform technology patent rights licensed under the Genmab Agreement will expire by 2032, though this date may be extended if, for example, Genmab files additional patents covering its platform technology. To date, we have not made any payments to Genmab under the Genmab Agreement.</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the event we seek to sell, license or otherwise dispose of our rights to TLT-1/Factor VII Antibody Products, including through a change of control to any third party other than Novo Nordisk, we are obligated to provide Genmab the right to participate in any bidding process as a bona fide potential acquirer of such rights.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Unless earlier terminated, the Genmab Agreement will expire, on a TLT-1/Factor VII Antibody Product-by-TLT-1/Factor VII Antibody Product and country-by-country basis, upon the expiration of the last net profit share term for such TLT-1/Factor VII Antibody Product in such country. On expiration of each net profit share term, our license becomes perpetual, fully paid-up and non-exclusive with respect to the applicable TLT-1/Factor VII Antibody Product in the applicable country. Either party may terminate the Genmab Agreement for the other party’s uncured material breach or insolvency or in certain events of force majeure. Genmab may terminate the Genmab Agreement if we or our affiliates or sublicensees challenge any of the platform technology patent rights licensed under the Genmab Agreement. We may terminate the Genmab Agreement for any reason upon 120 days written notice to Genmab. If Novo Nordisk obtains from us the exclusive right to exploit TLT-1/Factor VII Antibody Products, including upon termination of the Novo Nordisk Agreement, then the Genmab Agreement will terminate in all territories in which Novo Nordisk obtains such exclusive rights.</w:t>
      </w:r>
    </w:p>
    <w:p>
      <w:pPr>
        <w:pStyle w:val="TextBody"/>
        <w:bidi w:val="0"/>
        <w:spacing w:before="360" w:after="283"/>
        <w:jc w:val="both"/>
        <w:rPr>
          <w:rFonts w:ascii="Arial" w:hAnsi="Arial"/>
          <w:b/>
          <w:i/>
          <w:color w:val="000000"/>
          <w:sz w:val="20"/>
        </w:rPr>
      </w:pPr>
      <w:r>
        <w:rPr>
          <w:rFonts w:ascii="Arial" w:hAnsi="Arial"/>
          <w:b/>
          <w:i/>
          <w:color w:val="000000"/>
          <w:sz w:val="20"/>
        </w:rPr>
        <w:t>License Agreement with Gubra</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November 2023, we entered into a collaboration and development agreement with Gubra A/S, or Gubra, under which we and Gubra applied its streaMLine peptide discovery platform to identify peptide candidates in support of our early-stage discovery and development activities. We refer to this agreement as the Gubra Agreement and to any product developed under the Gubra Agreement as a Gubra Collaboration Product. Under the Gubra Agreement, Gubra granted to us a non-exclusive, royalty-free, worldwide and sublicensable license under Gubra’s background intellectual property, as well as to any new intellectual property that was developed under the Gubra Agreement that related to Gubra’s platform, processes or know how and that was not specific to any Gubra Collaboration Product (which we refer to as Gubra Foreground IP), in each case, to develop, manufacture and commercialize any Gubra Collaboration Product. The Gubra Agreement provides that all intellectual property that was developed under the Gubra Agreement, other than Gubra Foreground IP, vests in and is owned by us, including all intellectual property specific to any Gubra Collaboration Product. We are solely responsible, at our discretion and expense, for the development and commercialization of any Gubra Collaboration Product.</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Arial" w:hAnsi="Arial"/>
          <w:color w:val="000000"/>
          <w:sz w:val="20"/>
        </w:rPr>
        <w:t>In consideration for Gubra's discovery and development services, we paid Gubra a one-time upfront low single digit million Euro payment. We are further obligated to pay Gubra a one-time middle single digit million Euro milestone payment upon achievement by a Gubra Collaboration Product of a specified regulatory milestone event, and a low single-digit percentage royalty on net sales of any Gubra Collaboration Product, on a product-by-product and country-by-country basis, until the later of ten years following the first commercial sale of such product in such country, the expiration of the last valid claim of specified patents covering such product in such country, and the expiration of regulatory exclusivity for such product in such country. In addition, if we enter into a license, business or asset sale or similar transaction relating to a Gubra Collaboration Product, we are obligated to pay Gubra a specified percentage of the associated income, which varies with the product's stage of development at the time of the transaction.</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Arial" w:hAnsi="Arial"/>
          <w:color w:val="000000"/>
          <w:sz w:val="20"/>
        </w:rPr>
        <w:t>The Gubra Agreement also contains customary termination and survival provisions.</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Critical Accounting Estimates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management’s discussion and analysis of our financial condition and results of operations is based on our condensed consolidated financial statements, which have been prepared in accordance with generally accepted accounting principles in the United States, or GAAP. The preparation of these condensed consolidated financial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statements requires us to make estimates and assumptions that affect the reported amounts of assets, liabilities, costs and expenses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There have been no significant changes from critical accounting estimates described under “Management’s Discussion and Analysis of Financial Condition and Results of Operations – Critical Accounting Estimates” included in our final prospectus filed pursuant to Rule 424(b)(4) under the Securities Act with the SEC on May 1, 2026.</w:t>
      </w:r>
    </w:p>
    <w:p>
      <w:pPr>
        <w:pStyle w:val="TextBody"/>
        <w:bidi w:val="0"/>
        <w:spacing w:before="360" w:after="283"/>
        <w:jc w:val="left"/>
        <w:rPr>
          <w:rFonts w:ascii="Times New Roman" w:hAnsi="Times New Roman"/>
          <w:sz w:val="20"/>
        </w:rPr>
      </w:pPr>
      <w:r>
        <w:rPr>
          <w:rFonts w:ascii="Arial" w:hAnsi="Arial"/>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an “emerging growth company” as defined in the Jumpstart Our Business Startups Act, or the JOBS Act. As a result, we are able to take advantage of certain reduced reporting requirements that are otherwise applicable to public companies, including delaying auditor attestation of internal control over financial reporting, providing only two years of audited financial statements and related management’s discussion and analysis of financial condition and results of operations and reduced executive compensation disclosures.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may remain an emerging growth company until December 31, 2031. However, if certain events occur prior to the end of such period, including if we become a “large accelerated filer” under SEC rules, our annual gross revenue exceeds $1.235 billion, or we issue more than $1.0 billion of non-convertible debt in any three-year period, we will cease to be an emerging growth company prior to such date.</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We have elected to take advantage of certain of the reduced disclosure obligations available to emerging growth companies and may elect to take advantage of other reduced reporting requirements in future filings. As a result, the information that we provide to our stockholders may be different than what you might receive from other public reporting companies in which you hold equity interests. In addition, the JOBS Act provides that an “emerging growth company” can take advantage of an extended transition period for complying with new or revised accounting standards.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are also a “smaller reporting company” as defined in the Securities Exchange Act of 1934, as amended.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A description of recently issued accounting pronouncements that may potentially impact our financial position and results of operations is disclosed in Note 2 to our condensed consolidated financial statements included elsewhere in this Quarterly Report.</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2" w:name="quantitative_and_qualitative_disclosures"/>
      <w:bookmarkEnd w:id="12"/>
      <w:r>
        <w:rPr>
          <w:rFonts w:ascii="Arial" w:hAnsi="Arial"/>
          <w:b/>
          <w:color w:val="000000"/>
          <w:sz w:val="20"/>
        </w:rPr>
        <w:t>Item 3. Quantitative and Qualitative Disclosures About Market Risk.</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Not required.</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bookmarkStart w:id="13" w:name="controls_and_procedures"/>
      <w:bookmarkEnd w:id="13"/>
      <w:r>
        <w:rPr>
          <w:rFonts w:ascii="Arial" w:hAnsi="Arial"/>
          <w:b/>
          <w:color w:val="000000"/>
          <w:sz w:val="20"/>
        </w:rPr>
        <w:t>Item 4. Controls and Procedures.</w:t>
      </w:r>
    </w:p>
    <w:p>
      <w:pPr>
        <w:pStyle w:val="TextBody"/>
        <w:bidi w:val="0"/>
        <w:spacing w:before="120" w:after="283"/>
        <w:jc w:val="left"/>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Our management, under the supervision and with the participation of our Chief Executive Officer and Chief Financial Officer (our principal executive officer and principal financial officer, respectively),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240" w:after="283"/>
        <w:ind w:left="0" w:right="0" w:firstLine="720"/>
        <w:jc w:val="left"/>
        <w:rPr>
          <w:rFonts w:ascii="Arial" w:hAnsi="Arial"/>
          <w:color w:val="000000"/>
          <w:sz w:val="20"/>
        </w:rPr>
      </w:pPr>
      <w:r>
        <w:rPr>
          <w:rFonts w:ascii="Arial" w:hAnsi="Arial"/>
          <w:color w:val="000000"/>
          <w:sz w:val="20"/>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not effective at the reasonable assurance level because of the material weaknesses in our internal control over financial reporting described below.</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connection with the audit of our consolidated financial statements for the years ended December 31, 2024 and 2025, we identified material weaknesses in our internal control over financial reporting. As defined in the standards of the Public Company Accounting Oversight Board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material weaknesses were (1) controls around the financial statement close process were not designed or operating effectively, including as a result of an inappropriate segregation of conflicting duties and insufficient evidence of performance and review of controls, and (2) information system controls around user access, segregation of conflicting duties and change management were not designed or operating effectively.</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Remediation Plans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To remediate these material weaknesses, we have made and plan to continue to make improvements to the design and operating effectiveness of our internal controls over financial reporting, including the monitoring, oversight and evaluation of our internal controls. We also plan to allocate more internal resources to our internal controls, including by hiring additional staff, and intend to engage external advisors to provide training and to reassess and redesign processes and develop new controls as appropriate, including information technology controls covering access and change management as well as cyber risks, and assisting with the evaluation and documentation of the risk assessment, design and operating effectiveness of our internal controls over financial reporting. See the section titled “</w:t>
      </w:r>
      <w:r>
        <w:rPr>
          <w:rFonts w:ascii="Arial" w:hAnsi="Arial"/>
          <w:i/>
          <w:color w:val="000000"/>
          <w:sz w:val="20"/>
        </w:rPr>
        <w:t>Risk</w:t>
      </w:r>
      <w:r>
        <w:rPr>
          <w:rFonts w:ascii="Times New Roman" w:hAnsi="Times New Roman"/>
          <w:color w:val="000000"/>
          <w:sz w:val="20"/>
        </w:rPr>
        <w:t xml:space="preserve"> </w:t>
      </w:r>
      <w:r>
        <w:rPr>
          <w:rFonts w:ascii="Arial" w:hAnsi="Arial"/>
          <w:i/>
          <w:color w:val="000000"/>
          <w:sz w:val="20"/>
        </w:rPr>
        <w:t>Factors</w:t>
      </w:r>
      <w:r>
        <w:rPr>
          <w:rFonts w:ascii="Times New Roman" w:hAnsi="Times New Roman"/>
          <w:color w:val="000000"/>
          <w:sz w:val="20"/>
        </w:rPr>
        <w:t>—</w:t>
      </w:r>
      <w:r>
        <w:rPr>
          <w:rFonts w:ascii="Arial" w:hAnsi="Arial"/>
          <w:i/>
          <w:color w:val="000000"/>
          <w:sz w:val="20"/>
        </w:rPr>
        <w:t>We have identified material weaknesses in our internal control over</w:t>
      </w:r>
      <w:r>
        <w:rPr>
          <w:rFonts w:ascii="Times New Roman" w:hAnsi="Times New Roman"/>
          <w:color w:val="000000"/>
          <w:sz w:val="20"/>
        </w:rPr>
        <w:t xml:space="preserve"> </w:t>
      </w:r>
      <w:r>
        <w:rPr>
          <w:rFonts w:ascii="Arial" w:hAnsi="Arial"/>
          <w:i/>
          <w:color w:val="000000"/>
          <w:sz w:val="20"/>
        </w:rPr>
        <w:t>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120" w:after="283"/>
        <w:ind w:left="0" w:right="0" w:firstLine="720"/>
        <w:jc w:val="left"/>
        <w:rPr>
          <w:rFonts w:ascii="Arial" w:hAnsi="Arial"/>
          <w:color w:val="000000"/>
          <w:sz w:val="20"/>
        </w:rPr>
      </w:pPr>
      <w:r>
        <w:rPr>
          <w:rFonts w:ascii="Arial" w:hAnsi="Arial"/>
          <w:color w:val="000000"/>
          <w:sz w:val="20"/>
        </w:rPr>
        <w:t>Except as discussed above under “Remediation Plans”, there were no changes in our internal control over financial reporting (as defined in Rules 13a-15(f) and 15d-15(f) under the Exchange Act) that occurred during the three months ended June 30, 2026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4" w:name="part_ii_other_information"/>
      <w:bookmarkEnd w:id="14"/>
      <w:r>
        <w:rPr>
          <w:rFonts w:ascii="Arial" w:hAnsi="Arial"/>
          <w:b/>
          <w:color w:val="000000"/>
          <w:sz w:val="20"/>
        </w:rPr>
        <w:t>PART II—OTHER INFORMATION</w:t>
      </w:r>
    </w:p>
    <w:p>
      <w:pPr>
        <w:pStyle w:val="TextBody"/>
        <w:bidi w:val="0"/>
        <w:spacing w:before="240" w:after="283"/>
        <w:jc w:val="left"/>
        <w:rPr>
          <w:rFonts w:ascii="Arial" w:hAnsi="Arial"/>
          <w:b/>
          <w:color w:val="000000"/>
          <w:sz w:val="20"/>
        </w:rPr>
      </w:pPr>
      <w:bookmarkStart w:id="15" w:name="legal_proceedings"/>
      <w:bookmarkEnd w:id="15"/>
      <w:r>
        <w:rPr>
          <w:rFonts w:ascii="Arial" w:hAnsi="Arial"/>
          <w:b/>
          <w:color w:val="000000"/>
          <w:sz w:val="20"/>
        </w:rPr>
        <w:t>Item 1. Legal Proceedings.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From time to time, we may become involved in legal proceedings arising in the ordinary course of our business. We are not currently subject to any material legal proceedings.</w:t>
      </w:r>
    </w:p>
    <w:p>
      <w:pPr>
        <w:pStyle w:val="TextBody"/>
        <w:bidi w:val="0"/>
        <w:spacing w:before="360" w:after="283"/>
        <w:jc w:val="left"/>
        <w:rPr>
          <w:rFonts w:ascii="Arial" w:hAnsi="Arial"/>
          <w:b/>
          <w:color w:val="000000"/>
          <w:sz w:val="20"/>
        </w:rPr>
      </w:pPr>
      <w:bookmarkStart w:id="16" w:name="risk_factors"/>
      <w:bookmarkEnd w:id="16"/>
      <w:r>
        <w:rPr>
          <w:rFonts w:ascii="Arial" w:hAnsi="Arial"/>
          <w:b/>
          <w:color w:val="000000"/>
          <w:sz w:val="20"/>
        </w:rPr>
        <w:t>Item 1A. Risk Factors.</w:t>
      </w:r>
    </w:p>
    <w:p>
      <w:pPr>
        <w:pStyle w:val="TextBody"/>
        <w:bidi w:val="0"/>
        <w:spacing w:before="120" w:after="283"/>
        <w:ind w:left="0" w:right="0" w:firstLine="720"/>
        <w:jc w:val="left"/>
        <w:rPr>
          <w:rFonts w:ascii="Arial" w:hAnsi="Arial"/>
          <w:i/>
          <w:color w:val="000000"/>
          <w:sz w:val="20"/>
        </w:rPr>
      </w:pPr>
      <w:r>
        <w:rPr>
          <w:rFonts w:ascii="Arial" w:hAnsi="Arial"/>
          <w:i/>
          <w:color w:val="000000"/>
          <w:sz w:val="20"/>
        </w:rPr>
        <w:t>Our business is subject to numerous risks. You should carefully consider the risks and uncertainties described below together with all of the other information contained in this Quarterly Report on Form 10-Q, or this Quarterly Report, including our condensed consolidated financial statements and the related notes thereto in evaluating our company.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w:t>
      </w:r>
    </w:p>
    <w:p>
      <w:pPr>
        <w:pStyle w:val="TextBody"/>
        <w:bidi w:val="0"/>
        <w:spacing w:before="360" w:after="283"/>
        <w:jc w:val="left"/>
        <w:rPr>
          <w:rFonts w:ascii="Times New Roman" w:hAnsi="Times New Roman"/>
          <w:sz w:val="20"/>
        </w:rPr>
      </w:pPr>
      <w:r>
        <w:rPr>
          <w:rFonts w:ascii="Arial" w:hAnsi="Arial"/>
          <w:b/>
          <w:color w:val="000000"/>
          <w:sz w:val="20"/>
        </w:rPr>
        <w:t>Risks Related to Our Financial Position, Need for Additional Capital and Limited Operating History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We are a clinical-stage biopharmaceutical company, have no products approved for sale and have incurred significant losses since our inception. We expect to incur significant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a clinical-stage biopharmaceutical company with a limited operating history. Since our inception, we have devoted substantially all of our financial resources and efforts to research and development, including clinical trials and preclinical studies of our product candidates, sutacimig and HMB-002, along with several preclinical programs focusing on coagulation disorders, such as HMB-003, and have incurred significant operating losses. Our net losses were $46.8 million for the six months ended June 30, 2026 and $63.9 million for the year ended December 31, 2025. As of June 30, 2026, we had an accumulated deficit of $228.7 million. We have no approved products, and we have not generated any revenue from product sales. We have financed our operations primarily through private placements of convertible preference shares, issuances of convertible debt and, most recently, from the sale of common stock in our initial public offering, or IPO, in May 2026. We are still continuing to research and develop our product candidates, and we have not yet completed the development of any of our product candidates. We expect to continue to incur significant operating expenses and net losses for the foreseeable future. Our operating expenses and net losses may fluctuate significantly from quarter to quarter and year to year. Accordingly, our stockholders should not rely upon the results of any particular quarterly or annual period as indications of future operating performance. Because of the numerous risks and uncertainties associated with developing pharmaceutical products, we are unable to predict the extent of any future losses or when we will become profitable, if at all. Even if we become profitable, we may not be able to sustain or increase our profitability on a quarterly or annual basis.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anticipate that our expenses will increase substantially if and as we:</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to advance the clinical development of our clinical-stage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 including HMB-003 in patients with heavy menstrual bleeding;</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to advance our research and preclinical activities and seek to discover and develop additional product candidates, including HMB-003;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and scale-up manufacturing processes and capabilities, or arrange for a third party to do so on our behalf, to support our clinical trials of our product candidates and commercialization of any of our product candidates for which we obtain marketing approval;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seek regulatory and marketing approvals for any of our product candidates that successfully complete clinical trials;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ultimately establish a sales, marketing, medical affairs and distribution infrastructure to commercialize any products for which we may obtain marketing approval;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to develop, maintain, expand and protect our intellectual property portfolio (including intellectual property obtained through license agreements) and provide reimbursement of third-party expenses related to our patent portfolio;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acquire or in-license products, product candidates or technologies;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or maintain collaborations;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 expand, enforce, defend and protect our intellectual property;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hire additional clinical, medical, regulatory, quality control, manufacturing and other scientific and technical personnel;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 operational, financial, clinical, quality and management information systems and personnel, including personnel to support our product development and planned future commercialization efforts of our product candidates and our operations as a public company;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incur additional audit, legal, regulatory, tax and other expenses with being a public company;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make any milestone, royalty, or other payments to Novo Nordisk A/S, or Novo Nordisk, under our license agreement with Novo Nordisk, or the Novo Nordisk Agreement, and to Genmab A/S, or Genmab, under our license agreement with Genmab, or the Genmab Agreement, and to Gubra A/S, or Gubra, under our collaboration agreement with Gubra, and under any additional future collaboration or license agreements that we may enter into.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our expenses will further increase if, among other things:</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required by the U.S. Food and Drug Administration, or the FDA, the European Medicines Agency, or the EMA, or other regulatory authorities to perform clinical trials or preclinical studies that are in addition to, or different than, those expected;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there are any delays in completing our clinical trials or preclinical studies or the development of any of our product candidates; or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there are any third-party challenges to our intellectual property or we need to defend against any intellectual property-related claim.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Even if we obtain marketing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have never generated revenue from product sales and may never achieve or maintain profitability.</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expect that it will be several years before we have a product candidate ready for commercialization, if ever. To become and remain profitable, we must succeed in developing, obtaining the necessary marketing approvals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and any other product candidates we may identify and pursue, obtaining marketing approval for these product candidates and manufacturing, marketing and selling any products for which we may obtain marketing approval. We may never succeed in these activities and, even if we do, may never generate revenues that are significant enough to achieve profitability. Because of the numerous risks and uncertainties associated with biopharmaceutical product development, we are unable to accurately predict the timing or amount of increased expenses or when, or if, we will be able to generate revenue or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our stockholders to lose all or part of their investment.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Even if we are able to generate revenue from the sale of any approved products, we may not become profitable and may need to obtain additional funding to continue operations. Our revenue will be dependent, in part, upon the size of the markets in the territories for which we gain marketing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will need substantial additional funding. If we are unable to raise capital on acceptable terms when needed, or at all, we could be forced to delay, reduce or eliminate our product development programs or commercialization efforts.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devote substantial financial resources to our ongoing and planned activities, particularly as we commence our planned Phase 3 clinical trial of sutacimig in patients with Glanzmann thrombasthenia and continue our ongoing Phase 1/2 clinical trial of sutacimig in patients with Glanzmann thrombasthenia, Phase 2 clinical trial of sutacimig in patients with Factor VII deficiency and Phase 1/2 trial of HMB-002 in patients with Von Willebrand Disease, and progress HMB-003 into first-in-human studies in patients with heavy menstrual bleeding, continue research and development and initiate additional clinical trials of, and seek marketing approval for, these and other product candidates. We expect our expenses to increase substantially in connection with our ongoing and planned activities, particularly as we advance our preclinical activities and clinical trials of and potentially seek marketing approval for our product candidates and other product candidates we may identify, and if and as we expand our research and development and scale-up and manufacture our product candidates for our current and future indications. We will be required to incur substantial costs and may experience delays in completing, or ultimately be unable to complete, the development and commercialization of any product candidates.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if we obtain marketing approval for our product candidates and any other product candidates we may identify and pursue, we expect to incur significant commercialization expenses related to product manufacturing, sales, marketing and distribution. Furthermore, we expect to incur additional costs associated with operating as a public company. Accordingly, we will need to obtain substantial additional funding to support our continuing operations and pursue our growth strategy.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any product candidates, if approved, may not achieve commercial success. We will not generate commercial revenues, if any, unless and until we, alone or with partners, can achieve sales of products, which we do not anticipate will occur for many years, if at all.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As of June 30, 2026, we had cash, cash equivalents and marketable securities of $457.5 million. We believe that our cash, cash equivalents and marketable securities as of June 30, 2026 will enable us to fund our operating expenses and capital expenditure requirements into 2029. However, we have based this estimate on assumptions that may prove to be wrong, and our operating plan may change as a result of many factors currently unknown to us. As a result, we could deplete our capital resources sooner than we currently expect and could be forced to seek additional funding sooner than planned. We would be required to obtain substantial additional funding in order to initiate and conduct registrational and other clinical trials for our product candidates.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currently do not have a credit facility or any committed sources of capital. If we are unable to raise capital or obtain adequate funds when needed or on acceptable terms, we may be forced to delay, limit, reduce or terminate our research and development programs or any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progress, costs and results of our current and future preclinical studies and clinical trials for our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of clinical trials required for regulatory approval of our current or future product candidates;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we partner our programs with collaborators for later-stage clinical development or commercialization;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and development requirements of any other product candidates we may identify and develop;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timing and outcome of regulatory review of our product candidates and any other product candidates we may identify and develop;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obtaining clinical and commercial supplies of our product candidates and any other product candidates we may identify and develop;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successfully commercialize our product candidates and any other product candidates we may identify and develop;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manufacturing, selling and marketing costs associated with our product candidates and any other product candidates we may identify and develop, including the cost and timing of establishing sales and marketing capabilities;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progress, costs and results of any post-marketing studies that could be required by regulatory authorities;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amount and timing of sales and other revenues from our product candidates and any other product candidates we may identify and develop, including the sales price and the availability of coverage and adequate third-party reimbursement;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time and cost necessary to respond to technological and market developments;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we may acquire or in-license other product candidates and technologies;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and maintain strategic collaborations, licensing or other arrangements and the financial terms of such arrangements;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milestone payments and other collaboration-based payments, if any;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attract, hire and retain qualified personnel;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a commercially viable pricing structure and obtain approval for coverage and adequate reimbursement from third-party and government payors;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effect of macroeconomic trends including inflation, foreign exchange rate, interest rates and tariffs;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and timing of preparing, filing and prosecuting patent applications, maintaining, enforcing and protecting our intellectual property and proprietary rights and defending any intellectual property-related claims.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Any additional fundraising efforts may divert our management from their day-to-day activities, which may adversely affect our ability to develop and commercialize any product candidates. Additionally, volatility in the financial markets and general economic conditions may be a significant obstacle to raising the required funds. We cannot be certain that adequate additional financing will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or on terms acceptable to us, we may be required to delay, limit, reduce or terminate preclinical studies, clinical trials or other development activities for one or more product candidates or discovery stage programs or delay, limit, reduce or terminate our establishment of sales and marketing capabilities or other activities that may be necessary to commercialize any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Until such time, if ever, as we can generate substantial product revenues, we expect to finance our cash needs through a combination of equity offerings, debt financings, royalty financings, collaborations, strategic alliances and marketing, distribution or licensing arrangements. We do not have any source of committed capital or external funds. To the extent that we raise additional capital through the sale of equity or convertible debt securities, our stockholders’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additional debt, selling or licensing our assets, making capital expenditures, declaring dividends or encumbering our assets to secure future indebtedness.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raise additional funds through partnerships,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or on terms acceptable to us,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Our limited operating history may make it difficult to evaluate the success of our business to date and to assess our future viability.</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commenced operations in 2020 and are a clinical-stage biotechnology company. Our operations to date have been limited to organizing and staffing our company, business planning, raising capital, securing intellectual property rights, in-licensing technology, discovering product candidates, undertaking preclinical studies and conducting clinical trials. While we are in the process of conducting Phase 1/2 and Phase 2 trials, we have not yet initiated or completed a Phase 3 clinical trial of any product candidate. We have not yet demonstrated our ability to successfully develop any product candidate, obtain marketing approvals, manufacture a commercial-scale product or arrange for a third party to do so on our behalf, or conduct sales and marketing activities necessary for successful product commercialization. Therefore, we cannot be certain that our ongoing preclinical studies and clinical trials will be completed on time or that our planned preclinical studies and clinical trials will begin or be completed on time, if at all. Further, biopharmaceutical product development is a highly speculative undertaking and involves a substantial degree of risk. Our stockholders should consider our prospects in light of the costs, uncertainties, delays, and difficulties frequently encountered by companies in clinical development, especially clinical-stage biopharmaceutical companies such as ours. Any predictions our stockholders make about our future success or viability may not be as accurate as they could be if we had a longer operating history or a history of successfully developing and commercializing products.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as our business grows, we may encounter unforeseen expenses, difficulties, restrictions, complications, delays and other known and unknown factors. We will need to transition at some point from a company with a research and development focus to a company capable of supporting commercial activities. We may not be successful in such a transition.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expect our financial condition and operating results to fluctuate significantly from quarter to quarter and year to year due to a variety of factors, many of which are beyond our control. Accordingly, our stockholders should not rely upon the results of any quarterly or annual periods as indications of future operating performance.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Our future ability to use our net operating losses and research and development tax credit carryforwards to offset future taxable income may be subject to certain limitations.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As of December 31, 2025, we had $170.9 million of net operating losses, or NOLs. Our anticipated activities are also expected to result in future significant NOLs in Denmark and the United States resulting in additional deferred tax assets. Utilization of most deferred tax assets is dependent on generating sufficient future taxable income in the appropriate jurisdiction and/or entity. We have recorded a full valuation allowance on our net deferred tax assets as of December 31, 2025, based on all available evidence, it is considered more likely than not that all the recorded deferred tax assets will not be realized in a future period. Additionally, most of our deferred tax assets are determined by reference to applicable corporate income tax rates in Denmark. Accordingly, in the event of a reduction of any such corporate income tax rates, the carrying value of certain of our deferred tax assets would decrease.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Moreover, our ability to use our NOLs and other deferred tax assets to offset future taxable income in Denmark and the United States may be limited if we experience an ownership change. For Danish income tax purposes, an ownership change will generally occur when one, or several shareholders together, at once or successively, acquire shares representing more than 50% of the share capital or voting power. Although such an ownership change entails no reduction of the amount of NOLs to be carried forward, the utilization is restricted to exclude offsetting against positive net capital income (e.g. income from interest, dividend and royalty) on NOLs incurred in a previous income year, where the ownership has changed by more than by 50% (under section 12D of the Danish Corporate Tax Act). In the United States, in general, under Section 382 of the Internal Revenue Code of 1986, as amended, and corresponding provisions of state law, a corporation that undergoes an “ownership change,” generally defined as a greater than 50 percentage point change (by value) in its equity ownership by certain stockholders over a three-year period, is subject to limitations on its ability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through subsequent changes in our stock ownership (which may be outside our control). As a result, if, and to the extent that, we earn net taxable income, our ability to use our pre-change NOLs and research and development tax credit carryforwards to offset such taxable income may be subject to limitations.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There is also a risk that due to regulatory changes, such as suspensions on the use of NOLs, or other unforeseen reasons, our existing NOLs could expire or otherwise become unavailable to offset future income tax liabilities. Additionally, in the United States, state NOLs generated in one state cannot be used to offset income generated in another state. For these reasons, even if we attain profitability, we may be unable to use a material portion of our NOLs and other tax attributes.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The tax authorities in the jurisdictions in which we operate may challenge our transfer pricing procedures.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a multinational business that has operations in Denmark and other tax jurisdictions, and the tax laws of those jurisdictions generally require that royalty and other payments between affiliated companies in different jurisdictions be the same as those between unrelated companies dealing at arm’s length, and that such prices are supported by contemporaneous documentation. While we believe that we operate in compliance with applicable transfer pricing laws and intend to continue to do so, our transfer pricing procedures are not binding on applicable tax authorities. If tax authorities in any of these jurisdictions were to successfully challenge our transfer prices as not reflecting arm’s length transactions, they could require us to adjust our transfer prices and thereby reallocate our income or deductions to reflect these revised transfer prices, which could result in a higher overall tax liability to us and possibly interest and penalties.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tax authorities in the jurisdictions in which we operate may challenge our treatment of our corporate reorganization. No assets (either physical or intangible) were transferred from Denmark to the United States pursuant to our corporate reorganization, nor were any existing business functions or units operating from Denmark transferred from Hemab ApS to Hemab Therapeutics Holdings, Inc. as part of our corporate reorganization to form part of our U.S. operations. Accordingly, we have not treated and do not intend to treat our corporate reorganization as a deemed sale of all or part of our business by Hemab ApS to Hemab Therapeutics Holdings, Inc. If Danish tax authorities were to disagree with our position and treat our corporate reorganization or any of our activities thereafter as a deemed sale, in whole or in part, of intellectual property rights and/or other assets owned by Hemab ApS to Hemab Therapeutics Holdings, Inc., we could be subject to a Danish tax, the current rate of which is 22%, on the gain realized calculated as the difference between the fair market value and the tax value of the assets, at the time of the deemed sale of the assets from Denmark as determined by the Danish tax authorities.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Finally, the nature of our operations can produce conflicting claims from tax authorities in different countries as to the profits to be taxed in the individual countries. The jurisdictions in which we operate have double tax treaties with other jurisdictions, which provide a framework for mitigating the impact of double taxation on our revenues and capital gains. However, mechanisms developed to resolve such conflicting claims are largely untested, can be expected to be very lengthy, and do not always contain a mandatory dispute resolution clause. In recent years, tax authorities around the world have increased their scrutiny of company tax filings and have become more rigid in exercising any discretion they may have.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general, tax reform efforts, including with respect to transfer pricing, will require us to continually assess our organizational structure and could lead to an increased risk of international tax disputes, an increase in our effective tax rate and an adverse effect on our financial condition.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We are heavily dependent on the success of sutacimig and HMB-002, which are our only clinical-stage product candidates, and HMB-003, which is in preclinical development.</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currently have no products that are approved for commercial sale and may never be able to develop marketable products. We expect that a substantial portion of our efforts and expenditures over the next several years will be devoted to sutacimig and HMB-002, which are currently our only clinical-stage product candidates, and HMB-003, which is in preclinical development. Accordingly, our business currently depends heavily on the successful development, marketing approval and commercialization of these product candidates. We cannot be certain that sutacimig, HMB-002 or HMB-003 will receive marketing approval, be approved for the indications that we may seek or be successfully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commercialized even if we receive marketing approvals. If we were required to discontinue development of sutacimig, HMB-002 or HMB-003 or if any of these product candidates do not receive marketing approvals or fail to achieve significant market acceptance, we would be delayed by many years in our ability to achieve profitability, if ever, and may not be able to generate sufficient revenue to continue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we are unable to successfully complete clinical development, obtain marketing approval for, and ultimately commercialize our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To date, we have invested a majority of our efforts and financial resources in the preclinical and clinical development of our product candidates. We have not yet initiated a Phase 3 trial of any product candidate. Our future success is heavily dependent on our ability to successfully develop, obtain marketing approval for and ultimately commercialize our product candidates. We cannot be certain that our product candidates will be successful in clinical trials or receive marketing approval.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success of our product candidates will depend on several factors, including the following: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successfully completing clinical trials;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acceptance by the FDA or other regulatory agencies of regulatory filings for our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expanding and maintaining a workforce of experienced scientists and others to continue to develop our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and maintaining intellectual property protection and regulatory exclusivity for our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making arrangements with third-party manufacturers for, or establishing, commercial manufacturing capabilities;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establishing sales, marketing and distribution capabilities and successfully launching commercial sales, if and when approved, whether alone or in collaboration with others;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acceptance of the products, if and when approved, by patients, the medical community and third-party payors;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further chemistry, manufacturing and controls, manufacturing or development and optimization of the formulation and presentation of our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effectively competing or successfully being administered with other approved therapies;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and maintaining coverage, adequate pricing and adequate reimbursement from third-party payors, including government payors;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patients’ willingness to pay out of pocket for our products in the absence of coverage and/or adequate reimbursement from third-party payors;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maintaining, enforcing, defending and protecting our rights in our intellectual property portfolio;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not infringing, misappropriating or otherwise violating others’ intellectual property or proprietary rights;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maintaining a continued acceptable safety and tolerability profile following receipt of any marketing approvals.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Although we are planning to conduct a multinational, multicenter, Phase 3, open-label clinical trial evaluating sutacimig as a prophylactic therapy in adults with Glanzmann thrombasthenia, the FDA may determine that a randomized controlled clinical trial is necessary to support filing and approval of our Biologics License Application, or BLA. We intend to schedule a Type D meeting with the FDA in the coming months to obtain the FDA’s feedback on, and seek alignment regarding, our proposed Phase 3 trial design. A Type D meeting is intended to facilitate focused discussion on a limited number of specific issues, but there can be no assurance that the FDA will agree with our proposed approach. If the FDA requires us to conduct a randomized controlled Phase 3 clinical trial, we could incur additional costs and delays, to the extent any such trial is more complex, time-consuming and/or expensive to design, initiate and complete. A randomized trial may require a larger number of patients, longer enrollment and follow-up periods, and additional clinical sites, which could delay the timing of any regulatory submission and potential approval. In addition, the use of a control arm may introduce ethical, operational and recruitment challenges, particularly if patients or investigators are reluctant to participate in a study where treatment assignment is randomized. There is also a risk that a randomized trial could fail to meet its primary or secondary endpoints, even if a single-arm study might have demonstrated favorable results, which could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materially and adversely affect our ability to obtain regulatory review and approval and commercialize our product candidate.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Many of these factors are beyond our control, including clinical outcomes, the regulatory review process, potential threats to our intellectual property rights and the manufacturing, marketing and sales efforts of any future collaborators. If we are unable to develop, receive marketing approval for and successfully commercialize our product candidates, or if we experience delays as a result of any of these factors or otherwise, we may need to spend significant additional time and resources to identify other product candidates, advance them through preclinical and clinical development, and apply for marketing approvals, which would adversely affect our business, prospects, 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Clinical drug development involves a lengthy and expensive process, with an uncertain outcome. We will be required to incur substantial costs and may experience delays in completing, or ultimately be unable to complete, the development and commercialization of any product candidates.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risk of failure for our product candidates and any other product candidates we may develop is high. It is impossible to predict when or if our product candidates and any other product candidates we may develop will prove effective or safe in humans or will receive marketing approval. The time required to obtain approval from the FDA, EMA or other comparable foreign regulatory authorities is unpredictable but typically takes many years following the commencement of clinical trials and depends upon numerous factors, including the substantial discretion of regulatory authorities. Before obtaining marketing approval from regulatory authorities for the sale of any product candidate, we must complete preclinical development and then conduct extensive clinical trials to demonstrate the safety and efficacy of such product candidate in humans. We have not yet initiated a pivotal clinical trial for any of our product candidates. Clinical trials may fail to demonstrate that our current or future product candidates are safe for humans and effective for indicated uses. Even if initial clinical trials in any of our product candidates we may develop are successful, these product candidates may fail to show the desired safety and efficacy in later stages of clinical development despite having successfully advanced through preclinical studies and initial clinical trials. There is a high failure rate for drugs proceeding through clinical trials. A number of companies in the pharmaceutical and biotechnology industries have suffered significant setbacks in later-stage clinical trials even after achieving promising results in earlier-stage clinical trials.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Furthermore, clinical trials for blood disorders present unique challenges:</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small patient populations in the indications we are pursuing, such as Glanzmann thrombasthenia and Factor VII deficiency (which we estimate to be approximately 10,000 patients in the aggregate in the geographies where we intend to commercialize sutacimig, including the United States, the European Union, Japan, the Gulf Cooperation Council, or GCC, countries and other select regions), may make it challenging to enroll a sufficient number of patients in our clinical trials for sutacimig.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variability in bleeding phenotypes and disease severity in these conditions can make it difficult to demonstrate statistical significance in clinical endpoints.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lack of validated biomarkers and endpoints in blood disorders requires us to develop novel endpoints, which may not be accepted by regulatory authorities.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Patients with coagulation disorders may be geographically dispersed, requiring multi-national clinical trials with associated regulatory complexity.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Recruitment of patients for our clinical trials may be slower than anticipated due to the low prevalence of certain of these conditions, competition for patients from other clinical trials and the burden of our clinical trials on patients, including due to the duration of our clinical trials, the need for a higher degree of oversight by principal investigators, and the requirement of patient adherence to strict electronic bleed diary protocol requirements.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that rare and severe side effects of our product candidates may be uncovered in the later stages of clinical development due to accelerated development, which could result in disruptions and delays or a need for increased sample sizes for our clinical trials.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As with most procoagulant drugs, our product candidates have the potential for adverse effects, including thrombotic events, which can occur at any active dose level due to sporadic or patient-specific factors that are hard to identify.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patient populations in coagulation disorders are not as accustomed to participation in clinical trials, as in other indications, which may impact the ability to recruit and maintain patients in our clinical trials.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Before we can commence clinical trials for a product candidate, we must complete extensive preclinical testing and studies that support investigational new drug applications, or INDs, and other regulatory filings in the United States, marketing applications in the European Union and other applications and filings in other jurisdictions. We cannot be certain of the timely completion or outcome of preclinical testing and studies and cannot predict if the FDA or other regulatory agencies will accept any proposed clinical programs or if the outcome of any preclinical testing and studies will ultimately support the further development of any product candidates. As a result, we cannot be sure that we will be able to submit INDs or similar applications for any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concurrently with clinical testing. The outcomes of these safety studies may delay the launch of, or enrollment in, future clinical trials and could impact our ability to continue to conduct our clinical trials.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Clinical testing is expensive and is difficult to design and implement, can take many years to complete, and is uncertain as to outcome. We cannot guarantee that any of our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EMA or other regulatory authorities to require additional testing before approving any of our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incur unexpected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may experience numerous unforeseen events during, or as a result of, clinical trials that could delay or prevent our ability to receive marketing approval or commercialize our product candidates and any other product candidates we may develop,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or institutional review boards, or IRBs, or independent ethics committees may not authorize us or our investigators to commence a clinical trial or conduct a clinical trial at a prospective trial site;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experience delays in reaching, or fail to reach, agreement on acceptable clinical trial contracts or clinical trial protocols with prospective trial sites;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may decide that longer follow-up data are needed before they will consider our marketing applications, which would delay our ability to obtain marketing approval;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may decide the design of our clinical trials is flawed, for example, if our trial protocol does not evaluate treatment effects in trial subjects for a sufficient length of time;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trials of our product candidates and any other product candidates we may develop may produce negative or inconclusive results, and we may decide, or regulators may require us, to conduct additional clinical trials or abandon product development programs;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unable to establish clinical endpoints that applicable regulatory authorities would consider clinically meaningful, or, if we seek accelerated approval, biomarker efficacy endpoints that applicable regulatory authorities would consider likely to predict clinical benefit;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of patients required for clinical trials of our product candidates and any other product candidates we may develop may be larger than we anticipate, enrollment in these clinical trials may be slower than we anticipate, or participants may drop out of these clinical trials at a higher rate than we anticipate;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decide, or regulators or IRBs may require us, to suspend or terminate clinical trials of our product candidates and any other product candidates we may develop for various reasons, including non-compliance with regulatory requirements or a finding that the participants are being exposed to unacceptable health risks;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may require us to perform additional or unanticipated clinical trials to obtain approval or we may be subject to additional post-marketing testing requirements to maintain marketing approval;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may revise the requirements for approving our product candidates and any other product candidates we may develop, or such requirements may not be as we anticipate;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clinical trials of our product candidates and any other product candidates we may develop may be greater than we anticipate;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supply or quality of our product candidates and any other product candidates we may develop or other materials necessary to conduct clinical trials of such product candidates may be insufficient or inadequate;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product candidates and any other product candidates we may develop may have undesirable side effects or other unexpected characteristics, causing us or our investigators, regulators or IRBs or ethics committees to suspend or terminate the trials;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may withdraw their approval of a product or impose restrictions on its distribution, such as in the form of a risk evaluation and mitigation strategy, or REMS.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could encounter delays if a clinical trial is suspended or terminated by us, by the IRBs of the institutions in which such trials are conducted or their ethics committees, by the data review committee or data safety monitoring board for such trial or by the FDA, EMA or other foreign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foreign regulatory authorities resulting in the imposition of a clinical hold, unforeseen safety issues or adverse side effects, including those relating to the class of products to which our product candidates belong.</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are required to conduct additional clinical trials or other testing of our product candidates beyond those that we currently contemplate, if we are unable to successfully complete clinical trials or other testing of our product candidates or any other product candidates we may develop, if the results of these trials or tests are not positive or are only modestly positive, or if there are safety concerns, we may:</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 delayed in obtaining marketing approval for any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not obtain marketing approval at all;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 approval for indications or patient populations that are not as broad as intended or desired;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 approval with labeling or a REMS that includes significant use or distribution restrictions or safety warnings;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 subject to additional post-marketing testing requirements; or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have the product removed from the market after obtaining marketing approval.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any product candidates or allow our competitors to bring products to market before we do and impair our ability to successfully commercialize any product candidates and may harm our business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The outcome of preclinical studies and earlier-stage clinical trials may not be predictive of the success of later-stage clinical trials.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outcome of preclinical testing and earlier-stage clinical trials may not be predictive of the success of later-stage clinical trials. Our product candidates and any other product candidates we may develop may fail to show the desired safety, potency and purity in clinical development despite positive results in preclinical studies or having successfully advanced through initial clinical trials. For example, we are currently planning our Phase 3 clinical trial of sutacimig in patients with Glanzmann thrombasthenia, based on the positive results of our Phase 1/2 dose-finding study in patients with Glanzmann thrombasthenia. However, we cannot provide assurances that the evidence of activity we observed in our Phase 1/2 trial of sutacimig will translate to our planned Phase 3 clinical trial. Additionally, any positive results generated in our ongoing and planned clinical trials do not ensure that we will achieve similar results in later-stage clinical trials of these product candidates, and we cannot provide assurances that we will be able to seek or obtain marketing approval for any of our product candidates even if our clinical trials are successful.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Many companies in the pharmaceutical and biotechnology industries have suffered significant setbacks in late-stage clinical trials after achieving promising results in preclinical testing and earlier-stage clinical trials, and we cannot be certain that we will not face similar setbacks. In addition, while the animal models used in preclinical studies are designed to be representative of disease states in humans, these preclinical models may not be able to accurately predict the way a product candidate will affect patients in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potency and purity in any clinical trial could negatively impact the perception of any other product candidates we may be developing at the time and/or cause the FDA or other regulatory authorities to require additional testing before approving any other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Interim, top-line and preliminary results from our clinical trials that we announce or publish from time to time may change as more patient data become available and are subject to audit and verification procedures, which could result in material changes in the final data.</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From time to time, we may publish or report interim, top-line or preliminary results from our clinical trials. For example, we plan to report data for our Phase 2 clinical trial of sutacimig in Factor VII deficiency in late 2026 or early 2027, and data from our Phase 1/2 clinical trial of HMB-002 in patients with Von Willebrand Disease in late 2026 or early 2027. Interim results from clinical trials that we may complete are subject to the risk that one or more of the clinical outcomes may materially change as patient enrollment continues and more patient data become available. Preliminary, interim or top-line results also remain subject to audit and verification procedures that may result in the final data being materially different from the preliminary or interim data we previously published. As a result, interim, top-line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As an organization, we have never conducted pivotal clinical trials, and we may be unable to do so for our product candidates or any other product candidates we may develop.</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will need to successfully complete pivotal clinical trials in order to obtain the approval of the FDA, the EMA, or other regulatory agencies to market our product candidates or any future product candidate. Carrying out later-stage clinical trials is a complicated process. As an organization, we have not previously conducted any pivotal clinical trials. In order to do so, we will need to significantly expand our clinical development and regulatory capabilities. In addition, we may be unable to recruit and train qualified personnel. Consequently, we may be unable to successfully and efficiently execute and complete necessary clinical trials in a way that leads to approval of our product candidates or future product candidates. We may require more time and incur greater costs than our competitors and may not succeed in obtaining marketing approvals of product candidates that we develop.</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Due to the complexity, expense, scale and size of clinical trials, we may have to find one or more collaborators to conduct such a trial, and there can be no assurance that we would be able to do so. Even if we are able to find a collaborator, we may have to relinquish valuable rights to our technologies, future revenue streams, research programs or product candidates or grant licenses on terms that may not be favorable to us. See “—Risks Related to Our Dependence on Third Parties—We may enter into collaborations with third parties for the development or commercialization of product candidates. If our collaborations are not successful, we may not be able to capitalize on the market potential of these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product candidates and our business could be adversely affected.” Failure to commence or complete, or delays in, our planned clinical trials, could prevent us from or delay us in commercializing our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we do not achieve our projected development and commercialization goals in the timeframes we announce and expect, the development and commercialization of our product candidates may be delayed, and our business and results of operations may be harmed.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available capital resources or capital constraints we experience;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rate of progress, costs and results of our clinical trials and research and development activities, including the extent of scheduling conflicts with participating clinicians and collaborators;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identify and enroll patients who meet clinical trial eligibility criteria;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receipt of approvals by the FDA, EMA, and other comparable regulatory authorities and the timing thereof;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actions, decisions or rules issued by regulators;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access sufficient, reliable and affordable supplies of materials used to manufacture our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efforts of our collaborators with respect to the commercialization of our product candidates;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securing of, costs related to, and timing issues associated with, product manufacturing as well as sales and marketing activities.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fail to achieve announced milestones in the timeframes we expect, the development and commercialization of our product candidates may be delayed, and our business and results of operations may be harmed.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we experience delays or difficulties in the enrollment of patients in clinical trials, our receipt of necessary marketing approvals could be delayed or prevented.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Identifying and qualifying patients to participate in clinical trials for our product candidates and any other product candidates we may develop is critical to our success. Successful and timely completion of clinical trials will require that we enroll a sufficient number of patients, as required by the FDA, EMA or similar regulatory authorities in other jurisdictions, who remain in the trial until its conclusion. Additionally, the prevalence of patients with Glanzmann thrombasthenia, Factor VII deficiency and Von Willebrand Disease is estimated to be low, and we estimate that there are approximately an aggregate of 10,000 patients with Glanzmann thrombasthenia and Factor VII deficiency and an aggregate of 120,000 patients with Von Willebrand Disease in the geographies where we intend to commercialize, including the United States, the European Union, Japan, the GCC countries and other select regions. We may not be able to identify, recruit, and enroll a sufficient number of patients to complete our clinical trials of our product candidates because of the perceived risks and benefits of our product candidates, the availability of competing therapies and clinical trials, the proximity and availability of clinical trial sites for prospective subjects and the subject referral practices of physicians, among other factors. Patient enrollment is affected by a variety of other factors,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and severity of the disease under investigation;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eligibility and the discontinuation criteria for the trial in question;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perceived risks and benefits of the product candidate under trial;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requirements of the trial protocols;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availability of existing commercially available treatments for the targeted indications;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recruit clinical trial investigators with the appropriate competencies and experience;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efforts to facilitate timely enrollment in clinical trials;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patient referral practices of physicians;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monitor patients adequately during and after treatment;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proximity and availability of clinical trial sites for prospective patients;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conduct of clinical trials by competitors for product candidates that treat the targeted indications;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identify specific patient populations for biomarker-defined trial cohort(s);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to, or lack of adequate compensation for, prospective patients.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Our inability to locate and enroll a sufficient number of patients for our clinical trials would result in significant delays, could require us to abandon one or more clinical trials altogether and could delay or prevent our receipt of necessary marketing approvals, any of which would have an adverse effect on our business, financial condition, results of operations and prospects. Enrollment delays in our clinical trials may result in increased development costs for our product candidates and any other product candidates we may develop, which would cause the value of our company to decline and limit our ability to obtain additional financing.</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Even if we are able to enroll a sufficient number of patients for our future clinical trials, we may have difficulty maintaining patients in our clinical trials, including that patients may drop out of our clinical trials. If we have difficulty enrolling or maintaining a sufficient number of patients to conduct our clinical trials, we may need to delay, limit or terminate clinical trials, any of which would harm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As product candidates proceed through preclinical studies to late-stage clinical trials towards potential approval and commercialization, it is common that various aspects of the development program, such as manufacturing methods and formulation, are altered over the course of development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Serious adverse events of thrombosis have been identified in the development of sutacimig, and if additional serious adverse events or unacceptable side effects are identified during the development of our product candidates and any other product candidates we may develop, we may need to abandon or limit our development of those product candidates.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For example, our Phase 1/2 clinical trial of sutacimig for the treatment of Glanzmann thrombasthenia has included only 34 patients.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as we continue to evaluate our product candidates, rare and severe side effects of our product candidates may be uncovered in the later stages of our current and future clinical development. For example, in our Phase 1/2 clinical trial of sutacimig in Glanzmann thrombasthenia, several patients have experienced events of thrombosis. In particular, one patient experienced a grade 2 proximal deep vein thrombotic event at the highest exposure level (0.9 mg/kg) and one patient at the 0.3 mg/kg dose level (whose dose had been reduced from 0.6 mg/kg) experienced grade 2 subsegmental pulmonary embolism. These events were reported to the FDA on an expedited reporting basis as an event of a type referred to as a Suspected Unexpected Serious Adverse Reaction (SUSAR). While we have selected a lower dose of 0.2 mg/kg for purposes of our planned Phase 3 clinical trial, thrombotic events have been reported at the 0.3 mg/kg dose level, and there is no guarantee that thrombotic events or other serious adverse events will not occur even at lower doses. In addition, sutacimig’s mechanism of action inherently carries the risk of thrombotic complications if the drug achieves excessive systemic exposure or if patients have concurrent prothrombotic conditions or other risk factors. HMB-002’s intended mechanism of increasing von Willebrand factor, or VWF, and Factor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VIII levels could also increase thrombotic risk, particularly in patients with concurrent conditions that increase VWF levels, such as pregnancy, acute illness, or hormonal contraception use, or result in other adverse events.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Furthermore, many product candidates that initially showed promise in early-stage testing have later been found to cause side effects that prevented their further development. If our product candidates and any other product candidates we may develop are associated with undesirable side effects in clinical trials or have characteristics that are unexpected in clinical trials or preclinical testing, we may need to abandon their development or limit development to more narrow uses or subpopulations in which the side effects or other characteristics are less prevalent, less severe or more acceptable from a risk-benefit perspective. In biopharmaceutical development, many compounds that initially show promise in early-stage or clinical testing are later found to cause side effects that delay or prevent further development of the compound.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and any other product candidates we may develop for any or all targeted indications. Furthermore, we expect that our clinical trial protocol for our planned Phase 3 trial may require us to pause or stop enrollment in the trial if one or more thrombotic events occur in order to assess whether it is safe to proceed with further enrollment and dosing. Any such event could cause significant delays in the execution and completion of the trial, or lead to discontinuation altogether. Treatment-related side effects could also affect patient recruitment or the ability of enrolled patients to complete any of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any product candidate receives marketing approval and we, or others, later discover that the drug is less effective than previously believed or causes undesirable side effects that were not previously identified, our ability to market the drug could be compromised.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conduct, and intend to conduct in the future, clinical trials of product candidates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any product candidate receives marketing approval, and we, or others, later discover that it is less effective than previously believed, or causes undesirable side effects, a number of potentially significant negative consequences could result,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withdrawal or limitation by regulatory authorities of approvals of such product;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seizure of the product by regulatory authorities;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recall of the product;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the marketing of the product or the manufacturing process for any component thereof;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requirement by regulatory authorities of additional warnings on the label, such as a “black box” warning or contraindication;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requirement that we implement a REMS or create a medication guide outlining the risks of such side effects for distribution to patients;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commitment to expensive post-marketing studies as a prerequisite of approval by regulatory authorities of such product;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product may become less competitive;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initiation of regulatory investigations and government enforcement actions;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initiation of legal action against us to hold us liable for harm caused to patients;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harm to our reputation and resulting harm to physician or patient acceptance of our products.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Any of these events could prevent us from achieving or maintaining market acceptance of a particular product candidate, if approved, and could significantly harm our business, 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Some data for our product candidates comes from clinical trials conducted outside the United States or European Union. The FDA, EMA, or other comparable regulatory authorities, may not accept data from trials conducted in such locations, which could subject us to additional delays and expense.</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may conduct one or more of our clinical trials with one or more trial sites that are located outside the United States or European Union. The acceptance of data from clinical trials conducted outside the United States or another jurisdiction by the FDA may be subject to certain conditions or may not be accepted at all. Similarly, the EMA, and other equivalent foreign regulatory authorities may not accept data from trials conducted outside their jurisdiction. For example, we are currently conducting our ongoing Phase 2 clinical trial of sutacimig in patients with Factor VII deficiency at sites in the United Kingdom, and our ongoing Phase 1/2 trial of HMB-002 in patients with Von Willebrand Disease at sites in United Kingdom, Australia, and the United States. We plan to conduct our Phase 3 clinical trial of sutacimig in patients with Glanzmann thrombasthenia in the United States, Europe and potentially other jurisdictions. In cases where data from clinical trials outside of the United States are intended to serve as the basis for marketing approval in the United States, acceptance of these data is subject to conditions imposed by the FDA. For example, the clinical trial must be well designed and conducted and be performed by qualified investigators in accordance with ethical principles. The FDA must be able to validate the data from the trial through an onsite inspection, if necessary. The trial population must also adequately represent the U.S. population, and the data must be applicable to the U.S. population and U.S. medical practice in ways that the FDA deems clinically meaningful. In addition, while these clinical trials are subject to the applicable local laws, whether the FDA accepts the data will depend on its determination that the trials also complied with all applicable U.S. laws and regulations. Additionally, recent policy proposals in the United States, if enacted in the future, may make acceptance by the FDA or inclusion in a marketing application of non-U.S. data more difficult or costly.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not be successful in our efforts to identify or discover additional product candidates and may fail to capitalize on programs or product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If we do not successfully develop and eventually commercialize products, we will not generate product revenue in future periods, resulting in significant harm to our financial position and adversely affecting our share price. Research programs to identify new product candidates require substantial technical, financial and human resources.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Although our product candidates are currently in clinical development, we may fail to identify other potential product candidates for clinical development. Our focus on blood coagulation disorders limits our opportunities to a specific therapeutic area. If there are fewer than anticipated viable product targets in this area, or if competitors develop superior products for these indications, our business may suffer.</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because we have limited resources, we may forego or delay pursuit of opportunities with certain programs or product candidates or for indications that later prove to have greater commercial potential. For example, we currently intend to focus our capital resources primarily on the development of our product candidates. We have prioritized the development of sutacimig for Glanzmann thrombasthenia and Factor VII deficiency, which are both blood disorders with small patient populations, instead of potentially expanding into larger platelet disorder indications, which may have larger markets and potentially greater commercial returns. The development of our product candidates may ultimately prove to be unsuccessful or less successful than another potential product candidate in our pipeline that we might have chosen to pursue on a more aggressive basis with our capital resources.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If we engage in future acquisitions,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From time to time, we evaluate various acquisition opportunities, including licensing or acquiring complementary products, product candidates, intellectual property rights, technologies or businesses. Any potential acquisition may entail numerous risks,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increased operating expenses and cash requirements;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assumption of additional indebtedness or contingent liabilities;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issuance of our equity securities;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diversion of our management’s attention from our existing programs and initiatives in pursuing such a strategic merger or acquisition;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retention of key employees, the loss of key personnel and uncertainties in our ability to maintain key business relationships;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risks and uncertainties associated with the other party to such a transaction, including the prospects of that party and their existing products, product candidates and marketing approvals;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generate revenue from acquired product candidates or products sufficient to meet our objectives in undertaking the acquisition or even to offset the associated acquisition and maintenance costs.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or suppliers.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Even if any product candidate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If any product candidate receives marketing approval, it may nonetheless fail to gain sufficient market acceptance by physicians, patients, third-party payors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payors on the benefits of our product candidates and any other product candidates we may develop may require significant resources, including management time and financial resources, and may not be successful. If our product candidates and any other product candidates we may develop do not achieve an adequate level of acceptance, we may not generate significant product revenues and we may not become profitable. The degree of market acceptance of our product candidates and any other product candidates we may develop, if approved for commercial sale, will depend on a number of factors,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efficacy, safety and potential advantages of our product candidates compared to the advantages and relative risks of alternative treatments;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effectiveness of sales and marketing efforts;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treatment in relation to alternative treatments, including any similar generic or biosimilar treatments;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the product is designated under physician treatment guidelines as a first-, second- or third-line therapy;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limitations or warnings, including distribution or use restrictions contained in the product’s approved labeling;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clinical indications for which the product is approved;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convenience and ease of administration compared to alternative treatments;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willingness of the target patient population to try new therapies and to continue treatment over time and of physicians to prescribe these therapies;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strength of marketing and distribution support;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market introduction of competitive products;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availability of third-party coverage and adequate reimbursement, and patients’ willingness to pay out of pocket for required co-payments or in the absence of third-party coverage or adequate reimbursement;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and severity of any side effects;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restrictions on the use of our products, if approved, together with other medications;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failure by one or more of our product candidates that obtains regulatory approval to achieve market acceptance or commercial success would adversely affect our business prospects. </w:t>
      </w:r>
    </w:p>
    <w:p>
      <w:pPr>
        <w:pStyle w:val="TextBody"/>
        <w:bidi w:val="0"/>
        <w:spacing w:before="360" w:after="283"/>
        <w:jc w:val="left"/>
        <w:rPr>
          <w:rFonts w:ascii="Times New Roman" w:hAnsi="Times New Roman"/>
          <w:sz w:val="20"/>
        </w:rPr>
      </w:pPr>
      <w:r>
        <w:rPr>
          <w:rFonts w:ascii="Arial" w:hAnsi="Arial"/>
          <w:b/>
          <w:i/>
          <w:color w:val="000000"/>
          <w:sz w:val="20"/>
        </w:rPr>
        <w:t>If the market opportunities for any product candidates we develop are smaller than we believe they are, our revenue may be adversely affected, and our business may suffer.</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focus our research and product development on treatments for bleeding disorders. Given the small number of patients who have certain of the diseases that we are targeting, it is critical to our ability to grow and become profitable that we continue to successfully identify patients with these diseases. Our projections of both the number of people who have these diseases, as well as the subset of people with these diseases who have the potential to benefit from treatment with any product candidates we may develop, are based on our beliefs and estimates. These estimates have been derived from a variety of sources, including scientific literature, surveys of clinics, patient foundations or market research, and “360” natural history studies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 Additionally, if the actual market for any product candidates we may develop is smaller than we estimate, our revenues, if any, may be limited and it may be more difficult for us to achieve or maintain profitability.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Even with high penetration rates and premium pricing typical of orphan drugs, the revenue potential for sutacimig for the treatment of Glanzmann thrombasthenia and Factor VII deficiency may be limited due to the small patient populations. The pricing and reimbursement of any product candidates we may develop, if approved, is uncertain, and it may not be adequate to support commercial infrastructure. If we are unable to obtain adequate levels of pricing or reimbursement, our ability to successfully market and sell product candidates will be adversely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we are unable to establish sales, marketing and distribution capabilities or enter into sales, marketing and distribution agreements with third parties, we may not be successful in commercializing any product candidates if and when they are approved.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the future, we expect to build a sales and marketing infrastructure to market our product candidates and any other product candidates we may develop in the United States, Europe and potentially other jurisdictions, if and when approved by the respective regulatory authority.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Factors that may inhibit our efforts to commercialize our products on our own include:</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recruit, train and retain adequate numbers of effective sales, marketing, coverage or reimbursement, customer service, medical affairs and other support personnel;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of sales personnel to educate adequate numbers of physicians on the benefits of any future products;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of reimbursement professionals to negotiate arrangements for formulary access, reimbursement and other acceptance by payors;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to price our products at a sufficient price point to ensure an adequate and attractive level of profitability;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restricted or closed distribution channels that make it difficult to distribute our products to segments of the patient population;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unforeseen costs and expenses associated with creating an independent sales and marketing organization.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any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any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development and commercialization of new drug products is highly competitive. We face competition with respect to our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same disease indications we are pursuing.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Any product candidates that we successfully develop and commercialize will compete with existing products and new products that may become available in the future.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There are currently no subcutaneous prophylactic therapies for Glanzmann thrombasthenia or Factor VII deficiency that are in development or approved. However, companies could develop new therapies or repurpose existing therapies for Glanzmann thrombasthenia or Factor VII deficiency, such as emicizumab (Hemlibra), which was developed for hemophilia A, but could potentially be studied in other bleeding disorders, potentially including Glanzmann Thrombasthenia, Factor VII deficiency, and von Willebrand Disease.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For Von Willebrand Disease, the competitive landscape includes currently available therapies and products in development. The current standard of care includes desmopressin and VWF replacement products, including both plasma-derived products (Humate-P, Wilate, Alphanate) and recombinant VWF (Vonvendi). These products have established positions in the market and physician familiarity. In addition, Incyte Corporation is currently developing VGA039, an investigational monoclonal antibody that inhibits protein S, which is currently in Phase 3 clinical development for Von Willebrand Disease.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and/or biosimilar products. If any product candidates achieve marketing approval, we expect that they would be priced at a significant premium over competitive generic or biosimilar products.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marketing approvals and marketing approved products than we do. If we successfully obtain approval for any product candidate, we will face competition based on many different factors, including the safety, tolerability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tolerable or convenient, safer, less expensive or marketed and sold more effectively than any products we may develop. Competing products may render any product candidates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Mergers and acquisitions in the pharmaceutical, biopharmaceutical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Even if we are able to commercialize any product candidates, the products may become subject to unfavorable pricing regulations, third-party coverage or reimbursement practices or healthcare reform initiatives, which could harm our business.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any product candidates obtain marketing approval.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other third- party payors, such as private health insurers and health maintenance organizations, decide which medications they will pay for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There can be no assurance that any product candidates, even if they are approved for sale in the United States, Europe or in other jurisdictions, will be considered medically reasonable and necessary for a specific indication or cost-effective by third-party payors. We may be required to conduct expensive pharmacoeconomic studies to justify coverage and reimbursement or the level of reimbursement relative to other therapies. If coverage and adequate reimbursement are not available, we may not be able to successfully commercialize any product candidate for which we obtain marketing approval.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There may be significant delays in obtaining coverage and reimbursement for newly approved drugs, and coverage may be more limited than the purposes for which the drug is approved by the FDA, European Commission or similar regulatory authorities in other jurisdictions.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Further, no uniform policy for coverage and reimbursement exists in the United States. Third-party payors often rely upon Medicare coverage policy and payment limitations in setting their own reimbursement policies, but also have their own methods and processes apart from Medicare determinations. As a result, obtaining and maintaining coverage and adequate reimbursement is often time-consuming and costly.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Our future growth depends, in part, on our ability to penetrate markets outside the United States and the European Union, where we would be subject to additional regulatory burdens and other risks and uncertainties that, if they materialize, could harm our business.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future profitability will depend, in part, on our ability to commercialize our product candidates and any other product candidates we may develop in markets outside of the United States and the European Union. We are not permitted to market or promote any product candidate before we receive regulatory approval from applicable regulatory authorities in foreign markets, and we may never receive such regulatory approvals for any product candidates. If we commercialize our product candidates and any other product candidates we may develop in foreign markets, we will be subject to additional risks and uncertainties,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economic weakness, including inflation, or political instability in particular economies and markets;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burden of complying with complex and changing foreign regulatory, tax, accounting and legal requirements, many of which vary between countries;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different medical practices and customs in foreign countries affecting acceptance in the marketplace;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tariffs and trade barriers, as well as other governmental controls and trade restrictions;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trade protection measures, import or export licensing requirements or other restrictive actions by governments in the jurisdictions in which we operate or plan to operate;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longer accounts receivable collection times;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longer lead times for shipping;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compliance with tax, employment, immigration and labor laws for employees living or traveling abroad;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workforce uncertainty in countries where labor unrest is common;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language barriers for technical training;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protection of intellectual property rights in some foreign countries, and related prevalence of generic alternatives to therapeutics;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foreign currency exchange rate fluctuations and currency controls;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differing foreign reimbursement landscapes;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uncertain and potentially inadequate reimbursement of our products;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interpretation of contractual provisions governed by foreign laws in the event of a contract dispute.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risks related to any of these uncertainties materialize, it could have a material adverse effect on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Clinical trial and product liability lawsuits against us could divert our resources, could cause us to incur substantial liabilities and could limit commercialization of any products that we may develop.</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face an inherent risk of clinical trial and product liability exposure related to the testing of our product candidates and any other product candidates we may develop in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and any other product candidates or products we may develop caused injuries, we will incur substantial liabilities. Even a successful defense would require significant financial and management resources. Regardless of merit or eventual outcome, liability claims may result in:</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decreased demand for our product candidates and any other product candidates or products that we may develop;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injury to our reputation and significant negative media attention;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withdrawal of clinical trial participants;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significant costs to defend any related litigation;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substantial monetary awards to trial participants or patients;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loss of revenue;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resources of our management to pursue our business strategy;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to commercialize any products that we may develop.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Although we currently hold clinical trial liability insurance coverage in amounts we believe to be adequate, the coverage limits may be inadequate to cover all liabilities we may incur, and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any product candidate receives marketing approval, we will be required to report to regulatory authorities if the product causes or contributes to adverse medical events, and any failure to do so would result in sanctions that would materially harm our business.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If we are successful in commercializing any product candidate, the FDA and foreign regulatory authorities would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within the prescribed timeframe. If we fail to comply with such reporting obligations, the FDA or a foreign regulatory authority could take action, including criminal prosecution, the imposition of civil monetary penalties, seizure of our products or delay in approval or clearance of future products.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We rely, and expect to continue to rely, on third parties to conduct our clinical trials, and those third parties may not perform satisfactorily, including failing to meet deadlines for the completion of such trials, which may harm our business.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currently rely on third-party clinical research organizations, or CROs, to conduct our planned and ongoing clinical trials. We do not plan to independently conduct clinical trials of our product candidates. We expect to continue to rely on third parties, such as CROs, clinical data management organizations, medical institutions and clinical investigators, to conduct our clinical trials.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These third parties are not our employees, and except for remedies available to us under our agreements with such third parties, we have limited ability to control the amount or timing of resources that any such third party will devote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such third parties, it would involve substantial cost and require extensive management time and focus, or involve a transition period, and may delay our drug development activities, as well as materially impact our ability to meet our desired clinical development timelines.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while our reliance on these third parties for research and development activities will reduce our control over these activities, it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Our failure or the failure of third parties to comply with the applicable protocol, legal and regulatory requirements and scientific standards can result in rejection of our clinical trial data or other sanctions. Additionally, if we or our third-party contractors fail to comply with applicable GCPs,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and will not be able to, or may be delayed in our efforts to, successfully develop and commercialize any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Manufacturing biologics is complex, and we may experience manufacturing problems that result in delays in our development or future commercialization programs.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manufacturing of biologics is complex and difficult and we, or our CMOs, may experience production issues or interruptions for sutacimig, HMB-002, HMB-003 or any other product candidate we may develop, including raw material or starting material variability in terms of quality, cell line viability, productivity or stability issues, shortages of any kind, shipping, distribution, storage and supply chain failures, growth media contamination, equipment malfunctions, operator errors, facility contamination, labor problems, natural disasters, disruption in utility services, terrorist activities, or acts of god that are beyond our control or the control of our third party manufacturers.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Given the nature of biologics manufacturing, there is a risk of contamination during manufacturing. Any contamination could materially harm our or our third party manufacturers’ ability to produce sutacimig, HMB-002, HMB-003 or any other product candidate we may develop on schedule and could harm our results of operations and cause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reputational damage. Some of the raw materials that we require in our manufacturing process are derived from biologic sources. Such raw materials may be difficult to procure and may be subject to contamination or recall.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Problems with the manufacturing process, even minor deviations from the normal process, could result in product defects or manufacturing failures that result in lot failures, product recalls, product liability claims, insufficient inventory or potentially delay progression of our preclinical or clinical development of sutacimig, HMB-002, HMB-003 and any other product candidate we may develop. If we successfully develop sutacimig, HMB-002, HMB-003 and any other product candidate, we may encounter problems achieving adequate quantities and quality that meet FDA, EMA or other comparable applicable foreign standards or specifications with consistent and acceptable production yields and costs. The ability to scale our manufacturing through manufacturers of drug substance for our product candidates and for finished drug product and maintain the manufacturing process at the same levels of quality and efficiency is yet to be tested. If we or our third party manufacturers are unable to scale our manufacturing at the same levels of quality and efficiency, we may not be able to supply the required number of doses for clinical trials or commercial supply. A material shortage, contamination or manufacturing failure in the manufacture of sutacimig, HMB-002, HMB-003 and any other product candidate we may develop or other adverse impact or disruption in the commercial manufacturing or the production of clinical material could materially harm our development timelines and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contract with third parties for the manufacture of our product candidates, plan to contract with third parties for any other product candidates we may develop for preclinical and clinical testing and expect to continue to do so for commercialization. This reliance on third parties entails risks, including that such third parties may not be able to comply with applicable regulatory requirements. Any performance failure on the part of our existing or future manufacturers could delay clinical development or marketing approval.</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do not have any manufacturing facilities. We currently rely on a small number of manufacturers of drug substance for our product candidates and for finished drug product, and we expect to continue to rely on third parties to manufacture clinical supplies of our product candidates and any other product candidates we may develop and commercial supplies of our products, if and when approved for marketing by applicable regulatory authorities, as well as for packaging, sterilization, storage, distribution and other production logistics.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Reliance on third-party manufacturers may expose us to different risks than if we were to manufacture product candidates ourselves. If these third parties do not successfully carry out their contractual duties, meet expected deadlines or manufacture any product candidates in accordance with regulatory requirements, if there are disagreements between us and such parties or if such parties are unable to expand capacities to support commercialization of any product candidates for which we obtain marketing approval, we may not be able to fulfill, or may be delayed in producing sufficient product candidates to meet, our supply requirements. These facilities may also be affected by natural disasters, such as floods or fire, or geopolitical developments,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and may have a material adverse effect on our business.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Third-party manufacturers may not be able to comply with current good manufacturing practices, or cGMP, regulations or similar regulatory requirements outside of the United States.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Our product candidates and any other product candidates or products that we may develop may compete with other product candidates and products for access to manufacturing facilities. There are a limited number of manufacturers that operate under cGMP regulations and that might be capable of manufacturing for us.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or our third-party manufacturers may also encounter shortages in the raw materials or drug substance necessary to produce our product candidates and any other product candidates we may develop in the quantities needed for our clinical trials or, if our product candidates and any other product candidates we may develop are approved, in sufficient quantities for commercialization or to meet an increase in demand, as a result of capacity constraints or delays or disruptions in the market for the raw materials or drug substance, including shortages caused by the purchase of such raw materials or drug substance by our competitors or others. Even if raw materials or drug substance are available, we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may be unable to obtain sufficient quantities at an acceptable cost or quality. The failure of us or our third-party manufacturers to obtain the raw materials or drug substance necessary to manufacture sufficient quantities of our product candidates and any other product candidates we may develop could delay, prevent or impair our development efforts and may have a material adverse effect on our business.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Any performance failure on the part of our existing or future manufacturers could delay clinical development or marketing approval. We do not have long-term supply agreements in place for drug product or drug substance for our product candidates. If any of our future contract manufacturers cannot perform as agreed, or decline to continue to supply us, we may be required to replace such manufacturers. Although we believe that there are several potential alternative manufacturers who could manufacture our product candidates and any other product candidates we may develop, we may incur added costs and delays in identifying and qualifying any such replacement.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Our current and anticipated future dependence upon others for the manufacture of our product candidates and any other product candidates or products we may develop may adversely affect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from time to time be dependent on single-source suppliers for some of the components and materials used in the product candidates we may develop.</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We may from time to time depend on single-source suppliers for some of the components and materials used in any product candidate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investigational medicines.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may utilize collaboration, distribution and other marketing arrangements with third parties to develop our product candidates or any future product candidates of ours or to commercialize any product for which we obtain marketing approval.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regulatory authorities, the potential market for the subject product candidate, the costs and complexities of manufacturing and delivering such product candidate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 As a result, we may not be able to negotiate collaborations on a timely basis, on acceptable terms, or at all.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any product candidates or bring them to market.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are able to enter into collaborations with any third parties in the future, we will likely have limited control over the amount and timing of resources that any future collaborators of ours dedicate to the development or commercialization of our product candidates and any future product candidates of ours. Our ability to generate revenues from these arrangements will depend on any future collaborators of ours abilities and efforts to successfully perform the functions assigned to them in these arrangements. We cannot be certain that, following a collaboration, license or strategic transaction, we will achieve an economic benefit that justifies such transaction.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Collaborations that we enter into may not be successful, and any success will depend heavily on the efforts and activities of such collaborators. Collaborations pose a number of risks, including the following: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have significant discretion in determining the amount and timing of efforts and resources that they will apply to these collaborations;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perform their obligations as expected;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pursue development of our product candidates and any future product candidates of ours or may elect not to continue or renew development programs based on results of clinical trials or other studies, changes in the collaborators’ strategic focus or available funding, or external factors, such as an acquisition, that divert resources or create competing priorities;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could independently develop, or develop with third parties, products that compete directly or indirectly with any product candidates and products if the collaborators believe that the competitive products are more likely to be successfully developed or can be commercialized under terms that are more economically attractive than ours;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candidates discovered in collaboration with us may be viewed by any future collaborators of ours as competitive with their own product candidates or products, which may cause collaborators to cease to devote resources to the commercialization of any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collaborator may fail to comply with applicable regulatory requirements regarding the development, manufacture, distribution or marketing of a product candidate or product;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collaborator with marketing and distribution rights to one or more of any product candidates that achieves marketing approval may not commit sufficient resources to the marketing and distribution of such product or products;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with respect to the ownership of intellectual property developed pursuant to our collaborations;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infringe, misappropriate or otherwise violate the intellectual property or proprietary rights of third parties, which may expose us to litigation and potential liability;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invest resources and attention into collaborations, which could distract from other business objectives;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be terminated by the collaborator (including for convenience), and, if terminated, we could be required to raise additional capital to pursue further development or commercialization of the applicable product candidates.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Collaboration agreements may not lead to development or commercialization of product candidates in the most efficient manner, or at all. If any collaborations that we enter into do not result in the successful development and commercialization of products or if one of our future collaborators terminates its agreement with us, we may not receive any future research funding or milestone or royalty payments under the collaboration. If we do not receive the funding we expect under these agreements, our development of any product candidates could be delayed and we may need additional resources to develop any product candidates. All of the risks relating to product development, marketing approval and commercialization described in this “Risk Factors” section also apply to the activities of any future collaborators of ours.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subject to its contractual obligations to us, if a collaborator of ours is involved in a business combination, the collaborator might deemphasize or terminate the development or commercialization of any product candidate licensed to it by us. If any future collaborators of ours terminates its agreement with us, we may find it more difficult to attract new collaborators and our perception in the business and financial communities could be adversely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be subject to claims that our employees, consultants or independent contractors have wrongfully used or disclosed confidential information or trade secrets of third parties.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employ individuals who were previously employed at other biotechnology or biopharmaceutical companies. Although we try to ensure that our employees, consultants and advisors do not use the proprietary information, trade secrets or know-how of others in their work for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There is no guarantee of success in defending these claims, and even if we are successful, litigation could result in substantial cost and be a distraction to our management and other employees.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If we fail to comply with our obligations under our existing license agreements with Novo Nordisk and Genmab, or under any future intellectual property licenses, or otherwise experience disruptions to our business relationships with our current or any future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party to existing license agreements with each of Novo Nordisk and Genmab with respect to sutacimig. Termination of either of these agreements or a reduction or elimination of our licensed rights could lead to the loss of our ability to develop and commercialize sutacimig. Under the Novo Nordisk Agreement, we have been granted an exclusive (even as to Novo Nordisk), worldwide and sublicensable license under specified patent rights, and a non-exclusive,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worldwide and sublicensable license under specified know-how, to research, develop, make, have made, use, offer for sale, sell, import, export or otherwise exploit, or transfer possession of or title in, products containing bispecific IgG antibodies targeting TLT-1 and Factor VII, including sutacimig, for the treatment of bleeding conditions, including hemophilia. Under the Genmab Agreement, we have been granted an exclusive (even as to Genmab and its affiliates), worldwide and sublicensable license under platform technology patent rights and know-how relating to Genmab’s proprietary DuoBody</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platform to research, develop, make, have made, use, manufacture, import, export and commercialize products containing bispecific IgG antibodies targeting TLT-1 and Factor VII, including sutacimig, for the treatment of bleeding conditions, including hemophilia. For further information regarding our license agreements with Novo Nordisk and Genmab see “Management’s Discussion and Analysis of Financial Condition and Results of Operations—License Agreements.”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may enter into additional license agreements in the future. Our future license agreements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product candidates and technology in the future. Additionally, future agreements may impose various development, diligence, commercialization and other obligations on us and require us to meet development timelines, or to exercise commercially reasonable efforts to develop and commercialize licensed products, in order to maintain the licenses.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Our license agreements with Novo Nordisk and Genmab impose, and we expect that future licenses may impose, specified diligence, milestone payments, royalties and other obligations on us. Furthermore, Novo Nordisk and Genmab each has the right to terminate their respective license agreement if we materially breach such agreement and fail to cure such breach within a specified period or in the event of insolvency. In spite of our best efforts, our current or any future licensors might conclude that we have materially breached our license agreements and might therefore terminate the license agreements, thereby removing our ability to develop and commercialize product candidates and technology covered by these license agreements. As a result, we may be required to cease our development and commercialization of our product candidates and use of our proprietary technologies covered by the patent rights owned by such licensors. If these in-licenses are terminated, or if the in-licensed intellectual property fails to provide the intended exclusivity, competitors may have the freedom to seek regulatory approval of, and to market, products identical to ours. This could have a material adverse effect on our competitive position, business, financial condition, results of operations, and prospects.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Disputes may arise regarding intellectual property subject to a licensing agreement,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of rights granted under the license agreement and other interpretation-related issues;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our technology and processes infringe on intellectual property of the licensor that is not subject to the licensing agreement;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sublicensing of patent and other rights under our collaborative development relationships;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diligence obligations under the license agreement and what activities satisfy those diligence obligations;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inventorship and ownership of inventions and know-how resulting from the joint creation or use of intellectual property by our current or future licensors, and us and our partners;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priority of invention of patented technology.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If we are unable to obtain licenses from third parties on commercially reasonable terms or fail to comply with our obligations under such agreements, our business could be harmed.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currently have rights to intellectual property, through licenses from third parties, to identify and develop certain product candidates, and we may enter into additional licenses in the future as we expand our product candidate pipeline. Although we have succeeded in licensing intellectual property from third-party licensors, including Genmab and Novo Nordisk, in the past, we cannot assure our stockholders that we will be able to in-license or acquire the rights to any potential product candidates from third parties on acceptable terms or at all.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our license agreements may provide that our fields of use exclude particular fields. If we determine that rights to such fields are necessary to commercialize our product candidates or maintain our competitive advantage, we may need to obtain additional license rights in order to continue developing, manufacturing or marketing our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Various third parties practice in competitive areas and may have issued patents or patent applications that will issue as patents in the future, which could impede or preclude our ability to commercialize our product candidates. For any third-party patents that could be relevant to our product candidates, we rely in part on the “safe harbor” or research exemption under 35 U.S.C. § 271(e)(1), which exempts activities related to pursuing FDA approval for a drug product from patent infringement. However, while U.S. patent law provides such a “safe harbor” to our clinical product candidates under this provision, that exemption may expire when a BLA is submitted. Given the uncertainty of clinical trials, we cannot be certain of the timing of their completion and it is possible that we may submit a BLA for one of our future product candidates at a time when one or more relevant third-party patents is in force. It may therefore be necessary for us to use the patented or proprietary intellectual property of third parties to commercialize our products, in which case we would be required to obtain a license from these third parties. If we are unable to license such intellectual property, or if we are forced to license such intellectual property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intellectual property licensed to us.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intellectual property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applicable product candidate,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are unable to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intellectual property, all of which may not be feasible on a technical or commercial basis. If we are unable to do so, we may be unable to develop or commercialize the affected product candidates, which could harm our business, financial condition, results of operations, and prospects significantly.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current and future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impede, or delay or prohibit the further development or commercialization of one or more potential product candidates that rely on such agreements.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we are unable to obtain, maintain, enforce, defend and otherwise protect the intellectual property relating to our technology and product candidates, and if the scope of the intellectual property protection obtained is not sufficiently broad, our competitors or other third parties could develop and commercialize technology and products similar or identical to ours, and our ability to successfully develop and commercialize our technology and product candidates may be adversely affected.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success depends in large part on our ability to obtain and maintain protection of the intellectual property we may own solely and jointly with others or may license from others, particularly patents with respect to any proprietary technology and product candidates we develop. We seek to protect our proprietary position by filing patent applications in the United States, Europe and other jurisdictions in which we plan to market any products, if approved, related to our product candidates and any other product candidates we may develop that are important to our business and by in-licensing intellectual property related to our technologies and product candidates. If we, or our licensors, are unable to obtain or maintain patent protection with respect to any proprietary technology or product candidates,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Therefore, these in-licensed patents and applications may not be prepared, filed, prosecuted, maintained, defended and enforced in a manner consistent with the best interests of our business.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patent position of pharmaceutical and biotechnology companies generally is highly uncertain, involves complex legal and factual questions and has in recent years been the subject of much litigation.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and any other product candidates we may develop. In addition, publications of discoveries in the scientific literature often lag behind the actual discoveries, and patent applications are typically not published until 18 months after filing of the priority application,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that protect our technology and product candidates, in whole or in part, or that effectively prevent others from commercializing competitive technologies and products. Changes in either the patent laws or interpretation of the patent laws in the United States, the European Union and other countries may diminish the value of our patents and our ability to obtain, protect, maintain, defend and enforce our patent rights, narrow the scope of our patent protection and, more generally, could affect the value of, or narrow the scope of, our patent rights.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As of August 8, 2026, we own, co-own, or hold exclusive license rights to approximately 13 issued patents and 78 pending patent applications related to our product candidates. In order to continue to pursue protection based on provisional patent applications, we will need to file Patent Cooperation Treaty applications, non-U.S. applications and/or U.S. non-provisional patent applications prior to applicable deadlines. Even then, as highlighted above, patents may never issue from our patent applications, or the scope of any patent may not be sufficient to provide a competitive advantage. With respect to sutacimig, our foundational composition of matter patent application was filed in April 2020 (and claims priority to April 2019) with an expected expiration in April 2040, potentially extending to 2045 with patent term extension. The foundational sutacimig composition of matter patent family is exclusively licensed to us from Novo Nordisk. For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HMB-002, our initial composition of matter patent application was filed in February 2023 (and claims priority to February 2022) with an expected expiration in February 2043. We solely own the initial HMB-002 composition of matter patent family. A second composition of matter patent application covering HMB-002 was filed in August 2024 (and claims priority to August 2023), with an expected expiration in August 2044. We also solely own the second HMB-002 composition of matter patent family. For HMB-003, our foundational composition of matter patent application was filed in December 2025 (and claims priority to December 2024) with an expected expiration in December 2045, potentially extending to 2050 with patent term extension. We solely own the HMB-003 composition of matter patent family.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Moreover, we or our licensors may be subject to a third-party preissuance submission of prior art to the United States Patent and Trademark Office, or USPTO, or become involved in opposition, derivation, revocation, re-examination, inter partes review, post-grant review, interference or other similar proceedings challenging our patent rights or the patent rights of others. An adverse determination in any such submission, proceeding or litigation could reduce the scope of, or invalidate, our patent rights, allow third parties to commercialize technology and product candidates that are identical or similar to ours and compete directly with us, without payment to us, or result in our inability to manufacture or commercialize drugs without infringing third-party patent rights.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the coverage claimed in a patent application can be significantly reduced before the patent is issued, and its scope can be reinterpreted after issuance, including as a result of challenges brought in patent offices or court proceedings.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the European Union and other jurisdictions.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Moreover, some of our owned and in-licensed patents and patent applications may in the future be, and certain of our current patent applications are, co-owned with third parties. If we are unable to obtain an exclusive license to any such third-party co-owners’ interest in such patents or patent applications, we may need the cooperation of any such co-owners of our patents in order to enforce such patents against third parties, and such cooperation may not be provided to us.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using or commercializing technology and products similar or identical to any of our technology and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Patent terms may be inadequate to protect our competitive position on any product candidates for an adequate amount of time.</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The patent term of a U.S. patent may be lengthened by patent term adjustment, which compensates a patentee for administrative delays by the USPTO in granting a patent, or may be shortened if a patent is terminally disclaimed over an earlier-filed patent.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Notwithstanding these and other extensions that may be available, the life of a patent, and the protection it affords, is limited. Even if patents covering any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Given the expected expiration date of these patents, and the fact that safe harbor protections in many jurisdictions permit third parties to engage in development, including clinical trials, prior to patent expiry, these patents may not provide us with a meaningful competitive advantage.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If we are unable to obtain licenses from third parties on commercially reasonable terms, or fail to comply with our obligations under such agreements, our business could be harmed.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It may be necessary for us to use the patented or proprietary technology of one or more third parties to develop or commercialize our current and future product candidates, in which case we would be required to obtain a license from these third parties.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are unable to license such technology, or if we are forced to license such technology on unfavorable terms, our business could be materially harmed. If we are unable to obtain a necessary license, or to otherwise acquire the relevant intellectual property rights, we may be unable to develop or commercialize the affected product candidates, or such development and commercialization may be delayed, which could materially harm our business. In addition,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materially harm our business, financial condition, results of operations and prospects significantly.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if we fail to comply with our obligations under our current and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may not have the right to control the prosecution, maintenance, enforcement or defense of patents and patent applications that we license from third parties.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use may be less vigorous than had we conducted them ourselves. Any of the foregoing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we do not obtain patent term extensions in the United States under the 35 U.S.C. § 156 and in non-U.S. countries under similar legislation, thereby potentially limiting the term of our marketing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created 35 U.S.C. § 156, which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the European Union and certain other non-U.S. jurisdictions to extend the term of a patent that covers an approved drug. While, in the future, if and when any product candidates receive FDA approval or equivalent approvals in foreign jurisdictions, if available,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extensions either in the United States or in any non-U.S. country because of, for example, failing to exercise due diligence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earlier than if such extension was granted as requested by us, and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It is possible that we will not obtain patent term extension under 35 U.S.C. § 156 for a U.S. patent covering any of any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35 U.S.C. § 156. Thus, if one of our licensed patents is eligible for patent term extension under 35 U.S.C. § 156, we may not be able to control whether a petition to obtain a patent term extension is filed, or obtained, from the USPTO.</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Also, there are detailed rules and requirements regarding the patents that may be submitted to the FDA for listing in the Approved Drug Products with Therapeutic Equivalence Evaluations, or the Orange Book. We may be unable to obtain patents covering any product candidates that contain one or more claims that satisfy the requirements for listing in the Orange Book. Even if we submit a patent for listing in the Orange Book, the FDA may decline to list the patent, or a manufacturer of generic drugs may challenge the listing. If a product candidate is approved and a patent covering that product candidate is not listed in the Orange Book, a manufacturer of generic drugs would not have to provide advance notice to us of any abbreviated new drug application, or ANDA, filed with the FDA to obtain permission to sell a generic version of such product candidate.</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Similarly, there are detailed rules and requirements under the Biologics Price Competition and Innovation Act of 2009, or the BPCIA, governing the exchange of patent information between the sponsor of a licensed biological product and an applicant seeking approval of a biosimilar or interchangeable product. Unlike small-molecule drugs, biologics are not subject to the Orange Book patent-listing system; instead, patents are exchanged privately between the parties through a statutory process. We may be unable to obtain patents containing one or more claims that we are able to assert in this process. Even if we identify a patent in the exchange, a biosimilar applicant may decline to participate in the process or may dispute the patents we identify. If a biosimilar applicant does not follow the BPCIA's information-exchange procedures, our available remedies may be limited, and we may not receive advance notice of the applicant's intended commercial marketing that would otherwise precede a competing biosimilar launch.</w:t>
      </w:r>
    </w:p>
    <w:p>
      <w:pPr>
        <w:pStyle w:val="TextBody"/>
        <w:bidi w:val="0"/>
        <w:spacing w:before="360" w:after="283"/>
        <w:jc w:val="left"/>
        <w:rPr>
          <w:rFonts w:ascii="Times New Roman" w:hAnsi="Times New Roman"/>
          <w:sz w:val="20"/>
        </w:rPr>
      </w:pPr>
      <w:r>
        <w:rPr>
          <w:rFonts w:ascii="Arial" w:hAnsi="Arial"/>
          <w:b/>
          <w:i/>
          <w:color w:val="000000"/>
          <w:sz w:val="20"/>
        </w:rPr>
        <w:t>Changes to patent laws in the United States and other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Congress, the federal courts, and the USPTO, the laws and regulations governing patents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could change in unpredictable ways that could have a material adverse effect on our patent rights and our ability to protect, defend and enforce our patent rights in the future.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 a new court system recently became operational in the European Union. The Unified Patent Court, or UPC, began accepting patent cases on June 1, 2023. The UPC is a common patent court with jurisdiction over patent infringement and revocation proceedings effective for multiple European Union member states.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decided to opt out certain European patents and patent applications from the UPC. However, if certain formalities and requirements are not met, our European patents and patent applications could be subject to the jurisdiction of the UPC. We cannot be certain that our European patents and patent applications will avoid falling under the jurisdiction of the UPC, if we decide to opt out of the UPC.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and our licensors, and any future licensors, may become involved in lawsuits to protect or enforce our patent or other intellectual property rights, which could be expensive, time-consuming and unsuccessful, and which may result in our patents being found invalid or unenforceable.</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Competitors and other third parties may infringe, misappropriate or otherwise violate our or our current and future licensors’ issued patents or other intellectual property. As a result, we or any current or future licensors may need to file infringement, misappropriation or other intellectual property related claims, which can be expensive and time- 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non-U.S. jurisdictions (e.g., opposition proceedings). The outcome following legal assertions of invalidity and unenforceability is unpredictable, and the outcome of any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Interference or derivation proceedings provoked by third parties, or brought by us or by our licensors, or declared by the USPTO may be necessary to determine the priority of inventions with respect to our patents or patent applications. An unfavorable outcome in such proceedings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any product candidates to market.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Third parties may initiate legal proceedings alleging that we are infringing, misappropriating or otherwise violating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commercial success depends upon our ability and the ability of any future collaborators of ours to develop, manufacture, market and sell any product candidates we may develop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post-grant review, inter partes review, and derivation proceedings before the USPTO and similar proceedings in non-U.S. jurisdictions, such as oppositions before the European Patent Office. Numerous U.S. and non-U.S. issued patents and pending patent applications, which are owned by third parties, exist in the fields in which we are pursuing product candidates. As the biotechnology and pharmaceutical industries expand and more patents are issued, the risk increases that our technologies or product candidates that we may identify may be subject to claims of infringement of the patent rights of third parties.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any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be forced to indemnify our customers or collaborators or obtain one or more licenses from third parties, which may be impossible or require substantial time and monetary expenditure.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require us to make substantial licensing and royalty payments. We could be forced, including by court order, to cease developing, manufacturing and commercializing the infringing technology or product. A finding of infringement could prevent us from commercializing any product candidates or force us to cease some of our business operations, which could materially harm our business. In addition, we may be forced to redesign any product candidates, seek new marketing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Intellectual property litigation or other legal proceedings relating to intellectual property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Litigation or other legal proceedings relating to intellectual property claims, with or without merit, are unpredictable and generally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Periodic maintenance, renewal and annuity fees and various other government fees on any issued patent and pending patent application must be paid to the USPTO and non-U.S. patent agencies in several stages or annually over the lifetime of our owned and in-licensed patents and patent applications. The USPTO and various non-U.S. patent agencies also require compliance with a number of procedural, documentary and other similar provisions during the patent application process.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current or future licensors fail to maintain the patents and patent applications covering any product candidates, it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Filing, prosecuting and defending patents on product candidates in all countries throughout the world would be prohibitively expensive, and the laws of non-U.S. countries may not protect our rights to the same extent as the laws of the United States. In addition, the laws of some non-U.S.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Many companies have encountered significant problems in protecting and defending intellectual property rights in non-U.S. jurisdictions. The legal systems of certain countries do not favor the enforcement of patents, trade secrets, and other intellectual property rights,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 Proceedings to enforce our intellectual property and proprietary rights in non-U.S.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results of operations and prospects may be adversely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any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Certain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while it is our policy to require that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In addition, even when we obtain agreements assigning intellectual property to us, such intellectual property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Such claims could have a material adverse effect on our business, financial conditions, results of operations and prospects.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we or our licensors may in the future be subject to claims by former employees, consultants or other third parties asserting an ownership right in our owned or licensed patents or patent applications. An adverse determination in any such claim or proceeding may result in loss of exclusivity or freedom to operate or in patent claims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being narrowed, invalidated or held unenforceable, in whole or in part, which could limit our ability to stop others from using or commercializing similar technology and product candidates. Such challenges may also result in our inability to develop, manufacture or commercialize technology and product candidates infringing third-party patent rights. Any of the foregoing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we are unable to protect the confidentiality of our proprietary information, our business and competitive position may be harmed.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addition to seeking patents for any product candidates, we also rely on confidentiality agreements to protect our unpatented know-how, technology and other proprietary information, to maintain our competitive position. We seek to protect our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proprietary technology. Despite these efforts, any of these parties may breach the agreements and disclose our proprietary information and we may not be able to obtain adequate remedies for such breaches. We may also rely on trade secrets to maintain our competitive position.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may be materially and adversely harmed.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future trademark applications in the United States and in foreign jurisdictions may not be allowed or may subsequently be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may be able to make product candidates that are similar to ours but that are not covered by the claims of the patents that we own or license;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current or future collaborators, might not have been the first to make the inventions covered by the issued patent or pending patent applications that we own or license;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current or future collaborators, might not have been the first to file patent applications covering certain of our or their inventions;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may independently develop similar or alternative technologies or duplicate our technologies without infringing our owned or in-licensed intellectual property rights;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may circumvent our regulatory exclusivities, such as by pursuing approval of a competitive product via the traditional approval pathway based on their own clinical data, rather than relying on the abbreviated pathway provided for biosimilar or generic applicants;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it is possible that our owned and in-licensed pending patent applications or those we may own or in-license in the future will not lead to issued patents;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issued patents that we hold rights to now or in the future may be held invalid or unenforceable, including as a result of legal challenges by our competitors;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need to initiate litigation or administrative proceedings to enforce and/or defend our patent rights which will be costly and time consuming regardless of outcome;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patents of third parties or pending or future applications of third parties, if issued, may have an adverse effect on our business;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cannot ensure that any of our patents, or any of our pending patent applications, if issued, or those of our licensors, will include claims having a scope sufficient to protect any product candidates;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cannot ensure that any patents issued to us or our current or future licensors will provide a basis for an exclusive market for our commercially viable product candidates or will provide us with any competitive advantages;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cannot ensure that our commercial activities or product candidates will not infringe upon the patents of others;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cannot ensure that we will be able to successfully commercialize any product candidates on a substantial scale, if approved, before the relevant patents that we own or license expire;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develop additional proprietary technologies that are patentable;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patents of others may harm our business;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choose not to file a patent in order to maintain certain technology as trade secrets or know-how, and a third party may subsequently file a patent application covering such technology.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Should any of these events occur, they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20"/>
        </w:rPr>
        <w:t>Risks Related to Marketing Approval of Our Product Candidates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Even if we complete the necessary preclinical studies and clinical trials, the marketing approval process is expensive, time-consuming and uncertain and may prevent us from obtaining approvals for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i/>
          <w:color w:val="000000"/>
          <w:sz w:val="20"/>
        </w:rPr>
        <w:t>commercialization of some or all of our product candidates. As a result, we cannot predict when or if, and in which territories, we will obtain marketing approval to commercialize a product candidate.</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research, testing, manufacturing, labeling, approval, selling, marketing, promotion and distribution of products are subject to extensive regulation by the FDA, EMA and comparable regulatory authorities in other jurisdictions. We are not permitted to market our product candidates in the United States, the European Union or in other jurisdictions until we receive approval of a BLA from the FDA or marketing approval from the European Union or other applicable regulatory authorities. Our product candidates are in various stages of development and are subject to the risks of failure inherent in development. We have not submitted an application for or received marketing approval for any of our product candidates in the United States, the European Union or in any other jurisdiction. Additionally, we have no experience as a company in filing and supporting the applications necessary to gain marketing approvals and expect to rely on third-party CROs to assist us in this process.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process of obtaining marketing approvals, both in the United States, the European Union and in other jurisdictions,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potency and purity. The FDA or other regulatory authorities may determine that our product candidates are not safe, potent or pure, only moderately effective or have undesirable or unintended side effects, toxicities or other characteristics that preclude our obtaining marketing approval or prevent or limit commercial use.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Moreover, principal investigators for our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applicable, and may ultimately lead to the denial of marketing approval of one or more of our product candidates.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 under the Pediatric Research Equity Act of 2003, or PREA, a BLA or supplement thereto must contain data that are adequate to assess the safety, potency and purity of the product for the claimed indications in all relevant pediatric subpopulations and to support dosing and administration for each pediatric subpopulation for which the product is safe, potent or pure, unless granted a deferral or waiver. A deferral may be granted for several reasons, including a finding that the product or therapeutic candidate is ready for approval for use in adults before pediatric trials are complete or that additional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Pediatric Committee. For any of our product candidates for which we are seeking marketing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the Food and Drug Omnibus Reform Act, or FDORA, Congress required sponsors to develop and submit a diversity action plan, or DAP, for each Phase 3 clinical trial or any other “pivotal study” of a new drug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On January 27, 2025, in response to an Executive Order issued by President Trump on January 21, 2025, relating to Diversity, Equity and Inclusion programs, the FDA removed the draft DAP guidance from its website. That action, along with similar actions by the Trump Administration to remove many other healthcare webpages, is currently the subject of ongoing litigation. In late July 2025, pursuant to a court order, the FDA restored the draft DAP guidance to its website with a statement that “information on this page may be modified and/or removed in the future subject to the terms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of the court’s order and implemented consistent with applicable law.” Accordingly, in light of these ongoing actions, there is considerable uncertainty surrounding the draft DAP guidance and how the FDA will consider diversity action plans in connection with its review of BLAs.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 in January 2022, the Clinical Trials Regulation (EU) No 536/2014, or CTR,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European Union member state is only required to submit a single application for approval by each applicable European Union member state. The submission will be made through the Clinical Trials Information System, a clinical trials portal overseen by the EMA and available to clinical trial sponsors, competent authorities of the European Union member states and the public. While the CTR has been in place for several years, and applied to all clinical studies in the European Union as of January 31, 2025, we will need to carefully navigate our compliance with the CTR to ensure that it does not delay our ability to commence and conduct clinical studies in the European Union.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the FDA may determine that we must provide additional evidence and data before approving a BLA for any of our product candidates. For example, the novel nature of our product candidates may create further challenges in obtaining regulatory approval. That may be because: sutacimig is a bispecific antibody with a novel mechanism targeting Factor VII to activated platelets via TLT-1, which has not been previously exploited therapeutically, and regulatory authorities may have limited experience reviewing similar mechanisms and may require additional data to support approval; our product candidates target bleeding disorders where traditional clinical trial designs and endpoints used in more common bleeding disorders (such as hemophilia A and B) may not be fully applicable or validated; for Glanzmann thrombasthenia and Factor VII deficiency, there are no approved prophylactic therapies, so we cannot rely on precedent for endpoint selection, trial design, or benefit-risk assessment; and for Von Willebrand Disease, we will need to demonstrate that increasing endogenous VWF and Factor VIII levels translates to clinically meaningful bleeding reduction, which may require longer-term trials with bleed rate endpoints.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FDA reviews an application to determine whether there is “substantial evidence” to support a finding of effectiveness for the proposed product for its intended use(s). The FDA has interpreted this evidentiary standard to generally require two adequate and well-controlled clinical trials to establish effectiveness of a new product. Under certain circumstances, however, the FDA has indicated that a single trial with certain characteristics and additional information may satisfy this standard. The FDA issued draft guidance in September 2023 that outlines considerations for relying on confirmatory evidence in lieu of a second clinical trial to demonstrate efficacy. The FDA has not yet finalized such guidance but, in February 2026, then existing FDA leadership published an editorial in the New England Journal of Medicine in which they declared that, in most cases, the new default requirement for FDA approval of a new product will be one robust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While the FDA has long had authority to approve new products in this manner and, in recent years, has exercised that authority with respect to certain types of products, the publication declares that this will be the new official default standard for most new products. This approach will reportedly be implemented as the FDA places a greater emphasis on collecting robust post-marketing data on all pharmaceutical products. At this point, it is unclear how this new policy will be implemented by the FDA and how, if at all, it will affect our clinical development programs. Moreover, although we are planning to conduct a multicenter, Phase 3, single-arm, open-label clinical trial evaluating sutacimig as a prophylactic therapy in adults with Glanzmann thrombasthenia, the FDA may determine that a randomized controlled clinical trial is necessary to support filing and approval of our BLA. We intend to schedule a Type D meeting with the FDA in the coming months to obtain the FDA’s feedback on, and seek alignment regarding, our proposed Phase 3 trial design. A Type D meeting is intended to facilitate focused discussion on a limited number of specific issues, but there can be no assurance that the FDA will agree with our proposed approach. Our failure to timely agree with the FDA on the design of our planned Phase 3 clinical trial may lead to delays in its initiation and completion.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 xml:space="preserve">We could also be adversely affected by several significant administrative law cases decided by the U.S. Supreme Court in 2024. In </w:t>
      </w:r>
      <w:r>
        <w:rPr>
          <w:rFonts w:ascii="Arial" w:hAnsi="Arial"/>
          <w:i/>
          <w:color w:val="000000"/>
          <w:sz w:val="20"/>
        </w:rPr>
        <w:t>Loper Bright Enterprises v. Raimondo</w:t>
      </w:r>
      <w:r>
        <w:rPr>
          <w:rFonts w:ascii="Arial" w:hAnsi="Arial"/>
          <w:color w:val="000000"/>
          <w:sz w:val="20"/>
        </w:rPr>
        <w:t xml:space="preserve">, for example, the court overruled </w:t>
      </w:r>
      <w:r>
        <w:rPr>
          <w:rFonts w:ascii="Arial" w:hAnsi="Arial"/>
          <w:i/>
          <w:color w:val="000000"/>
          <w:sz w:val="20"/>
        </w:rPr>
        <w:t>Chevron U.S.A., Inc. v. Natural Resources Defense Council, Inc.</w:t>
      </w:r>
      <w:r>
        <w:rPr>
          <w:rFonts w:ascii="Arial" w:hAnsi="Arial"/>
          <w:color w:val="000000"/>
          <w:sz w:val="20"/>
        </w:rPr>
        <w:t xml:space="preserve">,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APA. Additionally, in </w:t>
      </w:r>
      <w:r>
        <w:rPr>
          <w:rFonts w:ascii="Arial" w:hAnsi="Arial"/>
          <w:i/>
          <w:color w:val="000000"/>
          <w:sz w:val="20"/>
        </w:rPr>
        <w:t>Corner Post, Inc. v. Board of Governors of the Federal Reserve System</w:t>
      </w:r>
      <w:r>
        <w:rPr>
          <w:rFonts w:ascii="Arial" w:hAnsi="Arial"/>
          <w:color w:val="000000"/>
          <w:sz w:val="20"/>
        </w:rPr>
        <w:t xml:space="preserve">, the U.S. Supreme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Arial" w:hAnsi="Arial"/>
          <w:i/>
          <w:color w:val="000000"/>
          <w:sz w:val="20"/>
        </w:rPr>
        <w:t>Securities and Exchange Commission v. Jarkesy</w:t>
      </w:r>
      <w:r>
        <w:rPr>
          <w:rFonts w:ascii="Arial" w:hAnsi="Arial"/>
          <w:color w:val="000000"/>
          <w:sz w:val="20"/>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the Center for Medicare &amp; Medicaid Services, or CMS, on which we rely. In addition to potential changes to regulations as a result of legal challenges, these decisions may result in increased regulatory uncertainty and delays and other impacts, any of which could adversely impact our business and operations.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Finally, our ability to develop and market new drug products may be impacted if litigation challenging the FDA’s approval of another company’s drug product continues.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U.S. Supreme Court reversed that decision after unanimously finding that the plaintiffs did not have standing to bring this legal action against the FDA. On October 11, 2024, the Attorneys General of three states filed an amended complaint in the district court in Texas challenging the FDA’s actions. On January 16, 2025, the district court in Texas agreed to allow these states to file an amended complaint and continue to pursue this challenge. Thereafter, on September 30, 2025, the district court in Texas declined to dismiss the case and, instead, transferred it to the federal district court in the Eastern District of Missouri. Depending on the outcome of this litigation, our ability to develop new product candidates and to maintain approval of any then-existing drug products could be at risk and could be delayed, undermined or subject to protracted litigation.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Failure to obtain marketing approval in the European Union or other jurisdictions outside the United States would prevent our product candidates from being marketed in those jurisdictions. Any approval we may be granted for our product candidates in the United States would not ensure approval of our product candidates in the European Union or any other jurisdictions and any of our product candidates that may be approved for marketing in the European Union or another jurisdiction will be subject to risks associated with operation in such jurisdiction.</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intend to market our current product candidates, if approved, in the European Union and other markets outside of the United States either directly or through collaborations. In order to market and sell our products in the European Union and other non-U.S.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may not obtain approvals from the European Union and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 candidates in any market.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many countries outside the United States, a product candidate must also be approved for reimbursement before it can be sold in that country. In some cases, the price that we intend to charge for our products, if approved, is also subject to approval. Obtaining non-U.S. marketing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United States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United Kingdom’s clinical trials regulatory regime, which took effect on April 28, 2026. Since the United Kingdom left the European Union prior to the date on which the EU Clinical Trials Regulation (Regulation EU No 536/2014) took effect, the U.K. legal framework (which was based upon the now-repealed EU Clinical Trials Directive (2001/20/EC)) did not benefit from the same revisions as occurred in the European Union. In anticipation of these new requirements, on October 1, 2025, the MHRA updated its guidance for clinical trials to address, among other things, research transparency requirements for clinical trials, the approvals process, the Research Ethics Committee review of clinical trials, simplified arrangements for consent in clinical trials and pharmacovigilance. We will need to ensure that we comply with the new U.K. regulatory regime for any clinical trials we conduct in the United Kingdom, which could add time and expense to our conduct of such trials.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At the same time, the United Kingdom has introduced a new international recognition procedure, or IRP, which is intended to facilitate approval of pharmaceutical products in the United Kingdom. The IRP is open to applicants that have already received an authorization for the same product from one of the MHRA’s specified Reference Regulators, or RRs. The RRs notably include the EMA and regulators in the European Union/European Economic Area, or EEA, member states for approvals in the European Union centralized procedure and mutual recognition procedure as well as the FDA (for product approvals granted in the United States). However, the IRP does not guarantee that a marketing authorization will be granted in the United Kingdom for all products with an approval from the EMA, and the MHRA retains the authority to reject applications if the evidence provided is considered insufficiently robust. Any delay in obtaining, or an inability to obtain, any marketing approvals may force us or any of our future collaborators to restrict or delay efforts to seek regulatory approval in the United Kingdom for our product candidates, which could significantly and materially harm our business.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June 4, 2025, after almost two years of negotiations among the European Union member states, the Council of the European Union adopted its position on the proposed overhaul of the EU general pharmaceutical legislative framework, which is known as the new Pharma Package. On December 11, 2025, the European Parliament and European Council reached a provisional political agreement on the legislation. The revisions may have a significant impact on the pharmaceutical industry and our business. The new Pharma Package would, among other things, set a baseline period of eight years of data exclusivity and one year of market exclusivity with possible extensions for new indications up to a maximum of 11 years total. The new framework is expected to be adopted by the fall of 2026 and there will likely be a transition period of 24 months, with the changes taking effect in mid-2028.</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Any marketing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FDA will consider in determining the intended use of a drug product. Moreover, with the passage of the Pre-Approval Information Exchange Act in December 2022, sponsors of products that have not been approved may proactively communicate to payors certain information about products in development to help expedite patient access upon product approval. Physicians may nevertheless prescribe our products off-label to their patients in a manner that is inconsistent with the approved label. The use of our product candidates for indications other than those approved by the FDA may not effectively treat such conditions. Any such off-label use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companies may also communicate information that is consistent with the prescribing information and may proactively speak to payors, formulary committees, and similar entities regarding healthcare economic information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Federal Food, Drug and Cosmetic Act, or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hAnsi="Arial"/>
          <w:i/>
          <w:color w:val="000000"/>
          <w:sz w:val="20"/>
        </w:rPr>
        <w:t>qui tam</w:t>
      </w:r>
      <w:r>
        <w:rPr>
          <w:rFonts w:ascii="Times New Roman" w:hAnsi="Times New Roman"/>
          <w:color w:val="000000"/>
          <w:sz w:val="20"/>
        </w:rPr>
        <w:t xml:space="preserve">” </w:t>
      </w:r>
      <w:r>
        <w:rPr>
          <w:rFonts w:ascii="Arial" w:hAnsi="Arial"/>
          <w:color w:val="000000"/>
          <w:sz w:val="20"/>
        </w:rPr>
        <w:t xml:space="preserve">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hAnsi="Arial"/>
          <w:i/>
          <w:color w:val="000000"/>
          <w:sz w:val="20"/>
        </w:rPr>
        <w:t xml:space="preserve">qui tam </w:t>
      </w:r>
      <w:r>
        <w:rPr>
          <w:rFonts w:ascii="Arial" w:hAnsi="Arial"/>
          <w:color w:val="000000"/>
          <w:sz w:val="20"/>
        </w:rPr>
        <w:t xml:space="preserve">suit is entitled to a share of any recovery or settlement. </w:t>
      </w:r>
      <w:r>
        <w:rPr>
          <w:rFonts w:ascii="Arial" w:hAnsi="Arial"/>
          <w:i/>
          <w:color w:val="000000"/>
          <w:sz w:val="20"/>
        </w:rPr>
        <w:t xml:space="preserve">Qui tam </w:t>
      </w:r>
      <w:r>
        <w:rPr>
          <w:rFonts w:ascii="Arial" w:hAnsi="Arial"/>
          <w:color w:val="000000"/>
          <w:sz w:val="20"/>
        </w:rPr>
        <w:t xml:space="preserve">suits, also commonly referred to as “whistleblower suits,” are often brought by current or former employees. In a </w:t>
      </w:r>
      <w:r>
        <w:rPr>
          <w:rFonts w:ascii="Arial" w:hAnsi="Arial"/>
          <w:i/>
          <w:color w:val="000000"/>
          <w:sz w:val="20"/>
        </w:rPr>
        <w:t xml:space="preserve">qui tam </w:t>
      </w:r>
      <w:r>
        <w:rPr>
          <w:rFonts w:ascii="Arial" w:hAnsi="Arial"/>
          <w:color w:val="000000"/>
          <w:sz w:val="20"/>
        </w:rPr>
        <w:t>suit, the government must decide whether to intervene and prosecute the case. If it declines, the individual may pursue the case alone. For example, in September 2025, President Trump issued a Memorandum directing the U.S. Department of Health and Human Services, or HHS, to “ensure transparency and accuracy in direct-to-consumer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 The FDA has subsequently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 xml:space="preserve">If the FDA or any other governmental agency initiates an enforcement action against us or if we are the subject of a </w:t>
      </w:r>
      <w:r>
        <w:rPr>
          <w:rFonts w:ascii="Arial" w:hAnsi="Arial"/>
          <w:i/>
          <w:color w:val="000000"/>
          <w:sz w:val="20"/>
        </w:rPr>
        <w:t xml:space="preserve">qui tam </w:t>
      </w:r>
      <w:r>
        <w:rPr>
          <w:rFonts w:ascii="Arial" w:hAnsi="Arial"/>
          <w:color w:val="000000"/>
          <w:sz w:val="20"/>
        </w:rPr>
        <w:t>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Manufacturers of approved products and their facilities are subject to continual review and periodic and unannounced inspections by the FDA and other regulatory authorities for compliance with cGMP regulations and standards. Even if marketing approval of a product is granted, the approval may be subject to limitations on the indicated uses for which the product may be marketed or to the conditions of approval, including the requirement to implement a REMS.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healthcare fraud and abuse laws and state consumer protection laws.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such product, manufacturers or manufacturing processes;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the labeling or marketing of the product;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product distribution or use;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requirements to conduct post-marketing studies or clinical trials;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warning letters or untitled letters;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withdrawal of the product from the market;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refusal to approve pending applications or supplements to approved applications that we submit;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recall of the product;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coverage by third-party payors;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fines, restitution or disgorgement of profits or revenues;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suspension or withdrawal of marketing approvals;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refusal to permit the import or export of the product;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seizure; or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injunctions or the imposition of civil or criminal penalties.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Similar restrictions apply to the authorization and post-authorization supervision of our products in the European Union. The holder of a marketing authorization is required to comply with a range of requirements applicable to the manufacturing, marketing, promotion and sale of medicinal products. These include: compliance with the European Union’s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European Union and are also subject to European Union member state laws. The failure to comply with these and other EU requirements can also lead to significant penalties and sanctions.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Accordingly, assuming we, or any future collaborators of ours, receive marketing approval for one or more of our product candidates, we, and any future collaborators of ours, and our and their contract manufacturers will continue to expend time, money and effort in all areas of regulatory compliance, including manufacturing, production, product surveillance and quality control. If we, and any future collaborators of ours, are not able to comply with post-approval regulatory requirements, our or any future collaborators of ours ability to market any future products could be limited, which could adversely affect our ability to achieve or sustain profitability. Further, the cost of compliance with post-approval regulations may have a negative effect on our operating results and financial condition.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approved, our product candidates that are licensed and regulated as biologics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Biologics Price Competition and Innovation Act of 2009, or the BPCIA, was enacted as part of the Patient Protection and Affordable Care Act, as amended by the Health Care and Education Affordability Reconciliation Amendment, or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licensure of a competing biologic, so long as its BLA does not rely on the reference product, sponsor’s data or submit the application as a biosimilar application.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believe that any of the product candidates we develop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biosimilar competition sooner than anticipated. Further, the FDA may revise the standards governing the approval of biosimilars so as to bring such products to the market more quickly. For example, in October 2025, the FDA issued draft guidance which proposes to eliminate the need for sponsors of biosimilar products to conduct comparative human clinical efficacy studies in many circumstances, allowing them to rely instead on analytical testing to assess product differences from a reference product. In March 2026, the FDA issued another draft guidance with additional recommendations that soften the requirements for licensure of biosimilars.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There have been recent government proposals to reduce the 12-year reference product exclusivity period, but none has been enacted to date. At the same time, since passage of the BPCIA, many states have passed laws or amendments to laws, which address pharmacy practices involving biosimilar products. The approval of a biosimilar to our product candidates would have a material adverse impact on our business due to increased competition and pricing pressure.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have sought and received Fast Track designation, Breakthrough Therapy designation and ILAP designation in the United Kingdom and may in the future seek additional designations for our product candidates, including but not limited to Priority Review designation in the United States, and PRIority Medicines, or PRIME, Designation in the European Union, but we might not receive such designations, and even if we do, such designations may not lead to a faster development or regulatory review or approval process.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have received and may in the future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have received Fast Track and Breakthrough Therapy designations for sutacimig for the treatment of Glanzmann thrombasthenia and may seek Fast Track and Breakthrough Therapy designations for sutacimig in other indications or for other of our product candidates, but such designation may not lead to a faster development or regulatory review and approval process or increase the likelihood that such product candidate will receive regulatory approval.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may also seek a Priority Review designation for one or more of our product candidates. If the FDA determines that a product candidate is intended to treat a serious condition and, if approved, offers a significant improvement in safety or effectiveness, the FDA may designate the product candidate for priority review.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means that the goal for the FDA to review an application is six months, rather than the standard review period of ten months.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September 2025, the FDA introduced a framework intended to streamline the approval of new therapies for ultrarare diseases. The Rare Disease Evidence Principles framework is intended to allow sponsors to rely on a single-arm trial in support of approval of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the European Union, we may seek PRIME designation for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European Union or, if such a method exists, the medicine offers a major therapeutic advantage over existing treatments. PRIME is limited to medicines under development and not authorized in the European Union, where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benefits of a PRIME designation include the appointment of a Committee for Medicinal Products for Human Use, or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the European Commission’s grant of a marketing authorization.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the United Kingdom, sutacimig has received innovative licensing and access pathway, or ILAP. designation from the MHRA for the treatment of Glanzmann thrombasthenia. The ILAP is open to sponsors of potentially transformative medicines or drug-device combination products that address unmet medical needs. It supports products with evidence of safe use in humans but before confirmatory trials have started. It is designed to reduce the end-to-end timeline for research and development, regulatory approval and timely adoption of new technologies to benefit patients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and the healthcare system in the United Kingdom. To these ends, the ILAP comprises an Innovation Passport designation, a Target Development profile and a toolkit to support all stages of the design, development and approval process. As with expedited review and approval programs in other jurisdictions, the designation of sutacimig under the ILAP does not guarantee approval of this candidate product in the United Kingdom by the MHRA. Further, we will need to carefully navigate the requirements of the ILAP to ensure that we benefit from this accelerated pathway to approval.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have received orphan drug designation for sutacimig for the treatment of Glanzmann thrombasthenia, but we may be unable to maintain this designation or realize the benefits associated with orphan drug designation, including exclusivity.</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sought and obtained orphan drug designation for sutacimig from the FDA and the EMA for the treatment of Glanzmann thrombasthenia, however, we may not be able to maintain these designations. We also may seek orphan drug designation for sutacimig in other specific orphan indications, or for HMB-002 or any future product candidates, but we may never receive such designations. Under the Orphan Drug Act, the FDA may designate a product as an orphan drug if it is a drug intended to treat a rare disease or condition. A similar regulatory scheme governs orphan designation by the European Commission, following a recommendation from the EMA’s Committee for Orphan Medicinal Products in the European Union.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Generally, if a product candidate with an orphan drug designation subsequently receives the first marketing approval for the indication for which it has such designation, the product is entitled to a period of marketing exclusivity, which precludes the FDA or EMA from approving another marketing authorization application for the same product (or a similar medicinal product in the European Union) for the same approved use indication for that time period, subject to limited exceptions. The applicable period is seven years in the United States and ten years in the European Union. The exclusivity period in the European Union can be reduced to six years if a product no longer meets the criteria for orphan drug designation, including if the product is sufficiently profitable so that market exclusivity is no longer justified.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order for the FDA to grant orphan drug exclusivity, the FDA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orphan drug exclusivity is obtained for a product, that exclusivity may not effectively protect the product from competition because different products can be approved for the same approved use or indication.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FDA and Congress may further reevaluate and revise the Orphan Drug Act and its regulations and policies. For example, in September 2021, the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 We do not know if, when, or how the FDA or Congress may change the orphan drug regulations and policies in the future, and it is uncertain how any changes might affect our business. Depending on what changes the FDA may make to its orphan drug regulations and policies, our business could be adversely impacted.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obtaining orphan drug designation in the European Union requires demonstrating that there exists no satisfactory method of diagnosis, prevention or treatment of the condition in question that has been authorized in the European Union or, if such method exists, the medicinal product will be of significant benefit to those affected by that condition. There is no assurance that we would be able to meet that standard for sutacimig in indications other than Glanzmann thrombasthenia or for any of our product candidates. Further, orphan drug designation for a product candidate in the European Union cannot be maintained at the time of a marketing authorization application without a showing, to the satisfaction of the EU regulatory authorities, that the product candidate is of significant benefit to patients over available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commercial products for the indication in the European Union and any additional products that are ahead of our product candidate in clinical development for the indication.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Disruptions at the FDA and other government agencies from funding cuts, personnel losses, regulatory reform, government shutdowns and other developments could hinder our ability to obtain guidance from the FDA regarding our clinical development programs and develop and secure approval of our product candidates in a timely manner, which would negatively impact our business.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FDA and comparable regulatory agencies in foreign jurisdictions, such as the EMA and CHMP, play a critical role in the development of our product candidates by providing guidance on our clinical development programs and reviewing and approving our regulatory submissions, including INDs, requests for special designations and marketing applications. If these oversight and review activities are disrupted or delayed, then correspondingly our ability to develop and secure timely approval of our product candidates could be impacted in a negative manner.</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For example, the loss of FDA leadership and personnel could lead to disruptions and delays in FDA guidance, review and potential approval of our product candidates. In November 2025, a Congressional Continuing Resolution ended the government shutdown, which began on October 1, 2025, providing full-year funding of the FDA for the 2026 federal fiscal year of approximately $7 billion with a slight increase in user fees for drug and device companies.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While the FDA’s review of marketing applications and other activities for new drugs and biologics is largely funded through the user fee program established under the Prescription Drug User Fee Act, or PDUFA, it remains unclear how the FDA’s 2025 reduction in force and budget cuts will impact this program and the ability of the FDA to provide guidance and review our product candidates in a timely manner. For example, while the FDA’s 2025 reduction in force did not reportedly specifically target FDA reviewers, many operations, administrative and policy staff that help support such reviews were affected and those losses could lead to delays in PDUFA reviews and related activities. There has been at least one report in which the FDA failed to meet a PDUFA goal date for approval of an NDA or BLA due to heavy workload and limited resources.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a number of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government funding of the SEC and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For example, the federal government shut down on October 1, 2025, and reopened on November 13, 2025. At the outset of that shutdown, the FDA issued a public notice stating that FDA operations would continue to the extent permitted by law, such as activities necessary to address imminent threats to the safety of human life and activities funded by carryover user fee funds. The FDA declared that, during the shutdown period, it does not have legal authority to accept user fees assessed for fiscal year 2026 until a fiscal year 2026 appropriation or Continuing Resolution for the FDA is enacted. As a result, during the government shutdown, the FDA did not accept any regulatory submissions for fiscal year 2026 that require a fee payment.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Accordingly, if any of the foregoing developments and others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the future, we may seek approval of our product candidates using the FDA’s accelerated approval pathway. A product candidate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 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There can be no assurance that the FDA will agree with any proposed surrogate endpoints or that we will decide to pursue or submit an NDA for accelerated approval or any other form of expedited development, review or approval for any of our current or future product candidates.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 there can be no assurance that we will satisfy all FDA requirements, including new provisions, that govern accelerated approval. For example, with the passage of FDORA in December 2022, Congress modified certain provisions governing accelerated approval of products. Specifically, the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of the FDA or the designee of the Commissioner of the FDA and a written appeal, among other things. We will need to fully comply with these and other requirements in connection with the development and approval of any product candidate that qualifies for accelerated approval.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March 2023, the FDA issued draft guidance that outlines its views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the FDA’s views on what it means to conduct a confirmatory trial with due diligence and how the FDA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the European Union, a conditional marketing authorization may be granted for certain medicines on less comprehensive clinical data than normally required, where the benefit of immediate availability of the medicine outweighs the risk inherent in the fact that additional data are still required.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 converted to a standard marketing authorization. However, if the conditions are not fulfilled within the timeframe set by the EMA, the marketing authorization will cease to be renewed.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Our activities, including our interactions with healthcare providers, third party payors, patients and government officials, are, and will continue to be, subject to extensive regulation involving healthcare, anti-corruption, data privacy and security and consumer protection laws. Failure to comply with applicable laws could result in substantial penalties, contractual damages, reputational harm, diminished revenues and curtailment or restructuring of our operations.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activities may now or in the future be directly or indirectly subject to various federal and state laws related to healthcare, anti-corruption, data privacy and security consumer protection. If we obtain FDA approval for any of our product candidates and begin commercializing those products in the United States, our potential exposure under such laws will increase significantly, and our costs associated with compliance with such laws are also likely to increase. These laws include, but are not limited to:</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anti-kickback law, which prohibits, among other things, persons from offering, soliciting, receiving or providing any remuneration, directly or indirectly, to induce, either the referral of an individual for, or the purchasing or ordering of a good or service, for which payment may be made under federal healthcare programs such as Medicare and Medicaid; </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anti-kickback prohibition known as Eliminating Kickbacks in Recovery Act, enacted in 2018, which prohibits certain payments related to referrals of patients to certain providers (recovery homes, clinical treatment facilities and laboratories) and applies to services reimbursed by private health plans as well as government healthcare programs;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law known as Health Insurance Portability and Accountability Act of 1996, or HIPAA, which, in addition to privacy protections to healthcare providers and other entities, prohibits executing a scheme to defraud any healthcare benefit program (which may include private health plans) or making false statements relating to healthcare matters;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FDCA, which among other things, strictly regulates drug marketing, prohibits manufacturers from marketing such products for off-label use and regulates the distribution of samples;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 healthcare programs;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so-called “federal sunshine” law, which requires pharmaceutical and medical device companies to monitor and report certain financial interactions with teaching hospitals, physicians and certain non-physician practitioners to the federal government for re-disclosure to the public;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privacy, security and breach provisions of HIPAA, which impose obligations on certain “covered entities” (healthcare providers, health plans and healthcare clearinghouses) and certain of their “business associate” contractors with respect to safeguarding the privacy, security and transmission of individually identifiable health information;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federal and state laws and regulations, including state security breach notification laws, state comprehensive privacy laws, state health information privacy laws, and federal and state consumer protection laws, govern the collection, use, disclosure and protection of health-related and other personal information;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federal consumer protection and unfair competition laws, which broadly regulate marketplace activities and activities that potentially harm consumers;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Foreign Corrupt Practices Act, or FCPA, a United States law which regulates certain financial relationships with foreign government officials (which could include, for example, certain medical professionals);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state law analogues of each of the above federal laws, such as anti-kickback and false claims laws which may apply to items or services reimbursed by any third-party payor, including private health plans, state privacy laws, state consumer protection laws, and state laws regulating interactions between pharmaceutical manufacturers and healthcare providers, requiring disclosure of such financial interactions or mandating adoption of certain compliance standards, many of which differ from each other in significant ways and often are not preempted by federal laws, thus complicating compliance efforts.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Companies that violate these laws can be subject to civil and criminal fines and penalties for each violation, plus up to three times the remuneration involved, imprisonment, and exclusion from government healthcare programs. Further, lack of knowledge (anti-kickback laws, HIPAA) or lack of intent (false claims laws) may not be valid defenses to violating such laws.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the marketing approval and commercialization of any of our product candidates in the European Union and other jurisdictions outside the United States will also likely subject us to foreign equivalents of the healthcare laws mentioned above, among other foreign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our operations are found to be in violation of any of the laws described above or any other governmental regulations that apply to us, we may be subject to penalties, including, without limitation,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Current and future legislation may increase the difficulty and cost for us to obtain reimbursement for our product candidates.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additional downward pressure on the price that we may receive for any approved products. If reimbursement of our products is unavailable or limited in scope, our business could be materially harmed.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ACA was enacted in March 2010, and other legislative changes have been proposed and adopted since its enactment.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products or product candidates for which we may obtain marketing approval or the frequency with which any such product is prescribed or used.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Since enactment of the ACA, there have been and continue to be numerous legal challenges and U.S. congressional actions to repeal and replace provisions of the law. For example, with enactment of the Tax Cuts and Jobs Act, or the Tax Act, in 2017, Congress repealed the “individual mandate.” The repeal of this provision, which requires most Americans to carry a minimal level of health insurance, became effective in 2019. On June 17, 2021, the U.S. Supreme Court dismissed a challenge to the ACA brought by several states without specifically ruling on the constitutionality of the ACA. Litigation and legislation over the ACA are likely to continue, with unpredictable and uncertain results.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the European Union, on December 13, 2021, Regulation (EU) 2021/2282 on Health Technology Assessment, or HTA, amending Directive 2011/24/EU, was adopted. While the Regulation entered into force in January 2022, it only began to apply from January 2025 onwards and has a phased implementation depending on the concerned products. The Regulation intends to boost cooperation among European Union member states in assessing health technologies, including new medicinal products as well as certain high-risk medical devices, and provide the basis for cooperation at the EU level for joint clinical assessments in these areas. It permits European Union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European Union member states will continue to be responsible for assessing non-clinical (e.g., economic, social, ethical) aspects of health technology and making decisions on pricing and reimbursement.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The prices of prescription pharmaceuticals in the United States and foreign jurisdictions are subject to considerable legislative and executive actions and could impact the prices we obtain for our products, if and when licensed.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For example,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FDA to obtain initial feedback from FDA prior to formally submitting their SIP proposals. The intent of these meetings is to assist states in developing their proposals by further clarifying requirements, enhancing the quality of proposals submitted to the FDA and ultimately shortening the review timeline.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August 2022, the Inflation Reduction Act, or IRA, was signed into law by President Biden. The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HHS to implement many of these provisions through guidance, as opposed to regulation, for the initial years.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 the IRA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law also capped Medicare out-of-pocket drug costs at an estimated $4,000 a year in 2024 and at $2,000 a year in 2025 and onwards.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 by 15 additional Medicare Part D drugs in 2027, 15 additional Medicare Part B or Part D drugs in 2028, and 20 additional Medicare Part B or Part D drugs per year in 2029 and beyond. This provision applies to drug products that have been approved for at least nine years. Drugs that have been approved for a single rare disease or condition were originally categorically excluded from price negotiation. With the passage of the One Big Beautiful Bill Act, or OBBBA, 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July 3, 2025, which was signed into law on July 4, 2025, Congress extended this exemption to drugs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any of our product candidates, if approved, or the full value of our patents protecting any such approved drug products if prices are set after any such approved products have been on the market for nine years.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 On June 6, 2023, Merck &amp; Co. filed a lawsuit against HHS and CMS asserting that, among other things, the IRA’s Drug Price Negotiation Program for Medicare constitutes an uncompensated taking in violation of the Fifth Amendment of the U.S. Constitution. Subsequently, a number of other parties also filed lawsuits in various courts with similar constitutional claims. Every court that has thus far considered substantive challenges to the Medicare drug price negotiation program has ruled against the pharmaceutical industry, dismissing both constitutional and statutory arguments. We expect that litigation involving these and other provisions of the IRA will continue with unpredictable and uncertain results.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expect that litigation involving these and other provisions of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w:t>
      </w:r>
      <w:r>
        <w:rPr>
          <w:rFonts w:ascii="Times New Roman" w:hAnsi="Times New Roman"/>
          <w:color w:val="000000"/>
          <w:sz w:val="20"/>
        </w:rPr>
        <w:t xml:space="preserve"> </w:t>
      </w:r>
    </w:p>
    <w:p>
      <w:pPr>
        <w:pStyle w:val="TextBody"/>
        <w:bidi w:val="0"/>
        <w:spacing w:before="240" w:after="283"/>
        <w:ind w:left="0" w:right="0" w:firstLine="720"/>
        <w:jc w:val="left"/>
        <w:rPr>
          <w:rFonts w:ascii="Arial" w:hAnsi="Arial"/>
          <w:color w:val="000000"/>
          <w:sz w:val="20"/>
        </w:rPr>
      </w:pPr>
      <w:r>
        <w:rPr>
          <w:rFonts w:ascii="Arial" w:hAnsi="Arial"/>
          <w:color w:val="000000"/>
          <w:sz w:val="20"/>
        </w:rPr>
        <w:t>In addition, the Trump Administration has taken a number of actions to reduce the costs of pharmaceutical products. For example, on April 15, 2025, President Trump issued an Executive Order which directs HHS to take steps to reduce the prices of pharmaceutical products. Such measures include streamlining the state drug importation program and modifying provisions of the 340B program. Further, on May 12, 2025, President Trump issued an additional Executive Order calling on pharmaceutical manufacturers to voluntarily reduce the prices of medicines in the United States. The Executive Order provides that if such actions do not lower the costs of pharmaceuticals, the Secretary of HHS would pursue other actions, including proposing a rulemaking that imposes most-favored nation, or MFN, pricing in the United States. Thereafter,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Since that time, virtually all of these pharmaceutical companies have entered into agreements with the Trump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Organisation for Economic Co-operation and Development countries with a gross domestic product of $400 billion and a per capita gross domestic product that is at least 60% of the U.S. per capita gross domestic product (an initial list of 19 reference countries is included in the proposed rule). The pilot programs are proposed to go into effect beginning October 1, 2026.</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States, including through their Medicaid programs and regulatory agencies, as well as other payers are developing strategies and implementing significant coverage barriers, or refusing to cover these products outright, arguing that accelerated approval products have insufficient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limited evidence despite meeting the FDA’s standards for accelerated approval. Certain states are also pursuing cost containment efforts through Prescription Drug Affordability Boards, or PDABs, and similar entities. While many PDABs have been granted authority to promote drug price transparency and reporting, some states have granted PDABs more expansive authority, including to set Upper Payment Limits, or UPLs, on select, high price drugs. The adoption and implementation of UPLs may put downward pressure on drug prices and impact our company’s future revenues.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if approved, or put pressure on our product pricing.</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the European Union, similar political, economic and regulatory developments may affect our ability to profitably commercialize our product candidates, if approved. In markets outside of the United States and the European Union, reimbursement and healthcare payment systems vary significantly by country and many countries have instituted price ceilings on specific products and therapies. In many countries,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any future collaborators of ours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are subject to stringent privacy laws, information security laws, regulations, policies and contractual obligations related to data privacy and security, and a failure to comply with such requirements could subject us to significant fines and penalties, which may have a material adverse effect on our business, financial condition or results of operations.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subject to data privacy and protection laws and regulations that apply to the collection, transmission, storage, use, disclosure and other processing of sensitive, confidential and personally identifying information, which among other things, impose certain requirements relating to the privacy, security and transmission of such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There are numerous U.S. federal and state laws and regulations related to the privacy and security of personal information. At the federal level,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under HIPAA can result in financial liability and reputational harm, and responses to such enforcement activity can consume significant internal resources. In addition, state attorneys general are authorized to bring civil actions seeking either injunctions or damages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 response to violations that threaten the privacy or security of the personal information of state residents, including pursuant to the state privacy laws discussed below.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make public statements about our use, collection, disclosure and other processing of personal information through our privacy policies and information provided on our website.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to potential enforcement by HHS, we are also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Federal Trade Commission Act of 1914, as well as the types of activities it views to trigger the Health Breach Notification Rule (which the FTC also has the authority to enforce).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security practices (depending on the nature of the alleged violations). If we violate any consent order that we reach with the FTC, we may be subject to additional fines and compliance requirements.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There are also increased restrictions at the federal level relating to transferring sensitive data outside of the United States to certain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Numerous states have also created comprehensive privacy laws which govern the processing of personal information. For example, the California Consumer Privacy Act, or the CCPA, took effect on January 1, 2020 and imposed many requirements on businesses that process the personal information of California residents. Many of the CCPA’s requirements are similar to those found in the EU General Data Protection Regulation, or the EU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 out of “sales” of their personal information. The CCPA contains significant penalties for companies that violate its requirements. The California Privacy Rights Act, or the CPRA, went into effect on January 1, 2023 and significantly expanded the CCPA to incorporate additional EU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an enforcement agency—the California Privacy Protection Agency—the sole responsibility of which is to enforce the CPRA and other California privacy laws, which will further increase compliance risk. The provisions in the CPRA may apply to some of our business activities.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to California, a number of other states have passed similarly comprehensive privacy laws. Like the CCPA,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specifically regulating specific categories of personal information, such as health information that may affect our business. For example, the State of Washington recently passed a health privacy law that will regulate the collection and sharing of health information, and the law also has a private right of action, which further increases the relevant compliance risk. Additionally, a small number of states, such as Illinois and Texas, have enacted laws that specifically target the collection and use of biometric information. These laws may impact our business activities, including our identification of research subjects, relationships with business partners and ultimately the marketing and distribution of our products.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laws in all 50 states require businesses to provide notice to customers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affected individuals or other counterparties of a cybersecurity incident, data breach, or other compromise. Although we may have contractual protections with our vendors, any actual or perceived security breach, incident, or compromise could harm our reputation and brand, expose us to potential liability or require us to expend significant resources on data security and in responding to any such actual or perceived cybersecurity incident, data breach, or other compromise. Any contractual protections we may have from our vendors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Similar to the laws in the United States, there are significant and evolving privacy and data security laws that apply in Europe and other countries. The collection, use, disclosure, transfer or other processing of personal data, including personal health data, regarding individuals who are located in the EEA and the United Kingdom and the processing of personal data that takes place in the EEA and the United Kingdom, is regulated by the EU GDPR with respect to the EEA, and the U.K. General Data Protection Regulation, or U.K. GDPR, with respect to the United Kingdom, and collectively with the EU GDPR referred to as the “GDPR” in this report unless specified otherwise. The GDPR applies to all organizations processing or holding personal data of EEA and/or U.K. data subjects (regardless of the organization’s location) as well as to organizations outside these jurisdictions that offer goods or services in the EEA and United Kingdom, or that monitor the behavior of EEA and/or U.K. data subjects. The GDPR imposes extensive obligations on companies that process personal data, including requirements relating to lawful bases for processing, transparency, consent where required, security safeguards, data processing agreements, data subject rights, breach notification, record-keeping, data protection impact assessments and, in some cases, appointment of a data protection officer. It also restricts transfers of personal data outside the EEA and United Kingdom (including to the United States). Breaches can result in significant penalties (up to €20 million / £17.5 million or 4% of global annual turnover, whichever is higher), and data subjects have rights to lodge complaints and seek compensation.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GDPR imposes strict rules on the transfer of personal data out of the EEA/United Kingdom to countries not regarded by the European Commission and the U.K. government as providing adequate protection, or third countries, including the United States. These transfers are prohibited unless an appropriate safeguard specified by data protection laws is implemented, such as the Standard Contractual Clauses, or SCCs, approved by the European Commission, or a derogation applies. Transfers made pursuant to the SCCs need to be assessed on a case-by-case basis to ensure the law in the recipient country provides “essentially equivalent” protections to safeguard the transferred data. If the standard is not met, businesses will be required to adopt supplementary measures.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the GDPR. The United Kingdom is not subject to the European Commission’s SCCs but the U.K. Information Commissioner’s Office has published the United Kingdom’s own transfer mechanisms for personal data originating from the United Kingdom (the International Data Transfer Agreement and International Data Transfer Addendum, or, each, an IDTA), which have been in force since March 21, 2022. The IDTA requires the same case-by-case risk assessment of the transfer. In addition,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EEA/U.K. personal data is located and which service providers we can utilize for the processing of EEA/U.K. personal data, particularly as the enforcement around GDPR international transfer compliance obligations is currently unclear. The above transfer requirements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Although the United Kingdom is regarded as a third country under the EU GDPR, the European Commission has now issued a decision recognizing the United Kingdom as providing adequate protection under the EU GDPR and, therefore, transfers of personal data originating in the European Union to the United Kingdom remain unrestricted. In December 2025, the European Commission adopted a decision to extend the validity of the U.K. adequacy decision for six years until December 2031, determining that the United Kingdom continues to offer a level of data protection that is “essentially equivalent” to the EU standards. This follows the United Kingdom’s adoption of the Data (Use and Access) Act 2025 on June 19, 2025. Like the EU GDPR, the U.K. GDPR restricts personal data transfers outside the United Kingdom to countries not regarded by the United Kingdom as providing adequate protection. The U.K. government has confirmed that personal data transfers from the United Kingdom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United Kingdom and the EEA.</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if approved, through increased compliance costs, costs associated with contracting and potential enforcement actions.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such evolving data protection laws, rules and regulations may be unsuccessful. These laws are not consistent, and compliance in the event of a widespread data breach is costly and time-consuming. It is possible that these laws may be interpreted and applied in a manner that is inconsistent with our practices, which could adversely affect our business. We must devote significant resources to understanding and complying with this changing landscape. Failure by us or our third-party vendors to comply with federal, state and international laws regarding privacy and security of personal information could expose us to the risk of enforcement actions taken by data protection authorities and can carry with it the potential for significant fines and penalties under such laws if we are found to be non-compliant. Even if we are not determined to have violated these laws, rules or regulations, government investigations into these issues typically require the expenditure of significant resources and generate negative publicity, which could harm our business, financial condition, results of operations or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Laws and regulations governing international operations may preclude us from developing, manufacturing and selling certain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have operations in Denmark and are required to dedicate additional resources to comply with U.S. laws regarding international operations and the laws and regulations in Denmark and any additional jurisdiction in which we operate.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Further, the provision of benefits or advantages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 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If we expand our international presence beyond Denmark,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The creation, implementation and maintenance of international business practices compliance programs may be necessary and costly, and such programs are difficult to enforce, particularly where reliance on third parties is required.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and our third-party contract manufacturers must comply with environmental, health and safety laws and regulations, and failure to comply with these laws and regulations could expose us to significant costs or liabilities.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and our third-party manufacturers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and any such liability could exceed our assets and resources. We could also incur significant costs associated with civil or criminal fines and penalties for failure to comply with such laws and regulations.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or business disruption, any of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 with respect to the operations of our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Our employees, consultants and business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exposed to the risk of fraud or other misconduct by our employees, consultants and business partners. Misconduct by these parties could include intentional failures to comply with FDA regulations, to provide accurate information to the FDA, to comply with manufacturing standards we have established, to comply with federal and state healthcare fraud and abuse laws and regulations, to comply with state and federal securities laws, to report financial information or data accurately or to disclose unauthorized activities to us. In particular, sales, marketing and business arrangements in the healthcare industry are subject to extensive laws and regulations intended to prevent fraud,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or interactions with the FDA or other regulatory authorities, which could result in regulatory sanctions and serious harm to our reputation.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Changes in and uncertainty surrounding U.S. and international trade policies, particularly with respect to China, may adversely impact our business and operating results.</w:t>
      </w:r>
      <w:r>
        <w:rPr>
          <w:rFonts w:ascii="Times New Roman" w:hAnsi="Times New Roman"/>
          <w:color w:val="000000"/>
          <w:sz w:val="20"/>
        </w:rPr>
        <w:t xml:space="preserve">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In the spring of 2025, the U.S. government initiated a series of tariff-related actions against U.S. trading partners. In February 2026, the U.S. Supreme Court held that the International Emergency Economic Powers Act of 1977, or the IEEPA, does not authorize the president to impose tariffs, invalidating both the “reciprocal” tariffs and certain country-specific tariffs previously imposed by executive orders. Following this decision, the U.S. Customs and Border Protection began refunding previously collected IEEPA duties through a phased administrative process, but the timing, scope and ultimate amount of any such refunds remain uncertain and subject to ongoing litigation.</w:t>
      </w:r>
    </w:p>
    <w:p>
      <w:pPr>
        <w:pStyle w:val="TextBody"/>
        <w:bidi w:val="0"/>
        <w:spacing w:before="120" w:after="283"/>
        <w:ind w:left="0" w:right="0" w:firstLine="720"/>
        <w:jc w:val="left"/>
        <w:rPr>
          <w:rFonts w:ascii="Arial" w:hAnsi="Arial"/>
          <w:color w:val="000000"/>
          <w:sz w:val="20"/>
        </w:rPr>
      </w:pPr>
      <w:r>
        <w:rPr>
          <w:rFonts w:ascii="Arial" w:hAnsi="Arial"/>
          <w:color w:val="000000"/>
          <w:sz w:val="20"/>
        </w:rPr>
        <w:t>President Trump subsequently invoked Section 122 of the Trade Act of 1974, or Section 122, to impose a 10% tariff, which could be raised to 15%, on nearly all foreign imports. The tariffs imposed under Section 122 expired in July 2026. In addition, the U.S. Trade Representative has conducted two investigations under Section 301 of the Trade Act of 1974, or Section 301, which have resulted in additional tariffs. In July 2026, in one such investigation, it imposed additional tariffs of 10% to 12.5% on products of 60 economies determined to have failed to impose and effectively enforce a prohibition on the importation of goods produced with forced labor. The second investigation into structural excess capacity and production in manufacturing sectors remains ongoing. In July 2026, President Trump also invoked Section 338 of the Trade Expansion Act of 1962, or Section 338, to impose a 50% tariff on certain Canadian imports, effective August 19, 2026. As was the case under the IEEPA tariffs, pharmaceuticals and pharmaceutical ingredients were among the products exempt from the tariffs imposed under Section 122, Section 301 and Section 338.</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Separately, in April 2025, the Department of Commerce announced an investigation under Section 232 of the Trade Expansion Act of 1962, or Section 232, into imports of pharmaceuticals and pharmaceutical ingredients, including finished products, medical countermeasures, critical inputs such as active pharmaceutical ingredients, and key starting materials, and derivative products of those items.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Then, on April 2, 2026, President Trump issued a proclamation invoking Section 232 to impose tariffs on imports of certain patented pharmaceuticals, biologics, and associated ingredients into the United States, or the Proclamation. The Proclamation affects pharmaceutical manufacturers, importers, and supply chain participants. Specifically, beginning September 29, 2026, tariffs ranging from 10% to 100% will apply to pharmaceutical articles that are subject to a valid, unexpired U.S. patent and are listed either in the Orange Book or are listed in the FDA’s Lists of Licensed Biological Products, or the Purple Book. These tariffs apply to active pharmaceutical ingredients and key starting materials for such articles. Preferential tariff rates are provided for imports of covered pharmaceuticals from Japan, the EU, Korea, Switzerland, Lichtenstein and the UK. Certain categories of products are exempt from these tariffs, including generic pharmaceuticals and biosimilars; U.S.-origin pharmaceutical products, active pharmaceutical ingredients and key starting materials; products classified in certain 10-digit tariff codes, listed in Annex IV of the Proclamation;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 and goods that qualify as “prototypes to be used exclusively for development, testing, product evaluation, or quality control purposes,” may be excluded from the additional tariffs.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 some of our manufacturers and suppliers are located in China. Trade tensions and conflicts between the United States and China have been escalated in recent years and, as such, we are exposed to the possibility of product supply disruption and increased costs and expenses in the event of changes to the laws, rules, regulations and policies of the governments of the United States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 investigations into and the imposition of possible economic sanctions against Chinese biotechnology companies WuXi AppTec and WuXi Biologics, or collectively WuXi, over alleged ties to the Chinese military.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Subsequently, in December 2025, as part of the Fiscal Year 2026 National Defense Authorization Act, President Trump signed into law the BIOSECURE Act. Under the BIOSECURE Act, U.S. government agencies cannot (1) buy or obtain biotechnology equipment or services provided by biotechnology companies of concern, or BCCs, (2) enter into, extend, or renew a contract with any entity using biotechnology equipment or services provided by a BCC to perform a government contract, or (3) expend, loan or grant funds for biotechnology equipment or services provided by a BCC, whether directly or through a loan or grant recipient. The BIOSECURE Act does not name specific companies as BCCs but treats any company on the Department of Defense 1260H list of “Chinese military companies” as a BCC. On December 18, 2025, the Chairs of multiple Senate and House committees, including the House Select Committee on China, sent a letter to the Department of Defense recommending that WuXi be added to the 1260H list, which would make it a BCC. The 1260H list was updated by the Department of Defense in January 2024 and January 2025.</w:t>
      </w:r>
      <w:r>
        <w:rPr>
          <w:rFonts w:ascii="Times New Roman" w:hAnsi="Times New Roman"/>
          <w:color w:val="000000"/>
          <w:sz w:val="20"/>
        </w:rPr>
        <w:t xml:space="preserve"> </w:t>
      </w:r>
      <w:r>
        <w:rPr>
          <w:rFonts w:ascii="Arial" w:hAnsi="Arial"/>
          <w:color w:val="000000"/>
          <w:sz w:val="20"/>
        </w:rPr>
        <w:t>On June 8, 2026, the US Department of Defense released an updated version of its list of “Chinese Military Companies” operating in the United States, pursuant to the requirements of Section 1260H of the National Defense Authorization Act for Fiscal Year 2021. Notably, the Department added WuXi AppTec to the list, along with two other biotechnology companies (Complete Genomics and Novogene). Since WuXi AppTec was just added to the list, it will be covered under a five-year grandfather clause that allows any contracts signed before the effective date of the ban to be protected through 2031. Nonetheless, on June 11, 2026, WuXi AppTec filed a legal challenge to its designation as a Chinese Military Company. The implications of this action remain unclear.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0"/>
        </w:rPr>
        <w:t>Risks Related to Employee Matters and Managing Growth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highly dependent on the research and development, clinical, regulatory, and business development expertise of Benny Sørensen, M.D., Ph.D., our president and chief executive officer,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This lack of insurance means that we may not have adequate compensation for the loss of the services of these individuals. Recruiting and retaining qualified scientific, clinical, manufacturing, accounting, legal and sales and marketing personnel will also be critical to our success.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expect to expand our development and regulatory capabilities and potentially implement sales, marketing and distribution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expect to experience significant growth in the number of our employees and the scope of our operations, particularly in the areas of drug development, clinical, regulatory affairs, manufacturing and quality control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Future acquisitions or strategic alliances could disrupt our business and harm our financial condition and results of operations.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may acquire additional businesses, technologies or assets, form strategic alliances or create joint ventures with third parties that we believe will complement or augment our existing business. If we acquire businesses with promising markets or technologies, those markets or technologies may not achieve the outcomes that we expect. Acquiring new product candidates is inherently risky, and there can be no assurance that any acquired product candidates would prove to be successful. In addition,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may delay or prevent us from realizing their expected benefits or enhancing our business. We cannot assure our stockholders that, following any such acquisition, we will achieve the expected synergies to justify the transaction. The risks we face in connection with acquisitions include:</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diversion of management time and focus from operating our business to addressing acquisition integration challenges;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coordination of research and development efforts; </w:t>
      </w:r>
    </w:p>
    <w:p>
      <w:pPr>
        <w:pStyle w:val="TextBody"/>
        <w:bidi w:val="0"/>
        <w:spacing w:before="240" w:after="283"/>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retention of key employees from the acquired company;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relationships with collaborators as a result of product acquisitions or strategic positioning resulting from the acquisition;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cultural challenges associated with integrating employees from the acquired company into our organization;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liability for activities of the acquired company before the acquisition, including intellectual property infringement claims, violation of laws, commercial disputes, tax liabilities and other known liabilities unanticipated write-offs or charges;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litigation or other claims in connection with the acquired company, including claims from terminated employees, customers, former stockholders or other third parties. </w:t>
      </w:r>
    </w:p>
    <w:p>
      <w:pPr>
        <w:pStyle w:val="TextBody"/>
        <w:bidi w:val="0"/>
        <w:spacing w:before="360" w:after="283"/>
        <w:jc w:val="left"/>
        <w:rPr>
          <w:rFonts w:ascii="Times New Roman" w:hAnsi="Times New Roman"/>
          <w:sz w:val="20"/>
        </w:rPr>
      </w:pPr>
      <w:r>
        <w:rPr>
          <w:rFonts w:ascii="Arial" w:hAnsi="Arial"/>
          <w:b/>
          <w:i/>
          <w:color w:val="000000"/>
          <w:sz w:val="20"/>
        </w:rPr>
        <w:t>The internal information technology systems, or those of any future collaborators of ours, vendors or other contractors or consultants, on which we depend have in the past and may in the future fail or suffer cybersecurity incidents, data breaches, loss of data and other disruptions,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 our business and financial results.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Despite the implementation of security measures, our internal information technology systems and those of any collaborators, vendors, contractors or consultants are vulnerable to breakdowns, damage or interruption from computer viruses, computer hackers, malicious code, ransomware, malware, malicious conduct or error by employees or other users, theft or misuse, denial-of-service attacks, sophisticated nation-state and nation-state-supported actors, unauthorized access, natural disasters, terrorism, wars or other armed conflict, telecommunication and electrical failures or other compromise. There could also be an increase in cybersecurity attacks generally as a result of ongoing military conflicts and the resulting sanctions imposed by the United States and European governments, together with any additional future sanctions or other actions by them.</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Cyberattacks are increasing in their frequency, sophistication and intensity, and have become increasingly difficult to detect. Cyberattacks could include the deployment of harmful malware, ransomware, business email compromises, denial-of-service attacks, unauthorized access to or deletion of files, social engineering (including phishing attacks) and other means to affect service reliability and threaten the confidentiality, integrity and availability of information. Cyberattacks also could include phishing attempts or e-mail fraud to cause payments or information to be transmitted to an unintended recipient. These attacks and activity are also being facilitated or enhanced by evolving technologies, including artificial intelligence.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Like other companies in our industry, we, and our third-party vendors, have experienced threats and cybersecurity incidents relating to our information systems and infrastructure. We cannot guarantee that the measures we have taken to date, and actions we may take in the future, will be sufficient to prevent any future system failures, cyberattacks, accidents or cybersecurity incidents or data breaches with respect to our information technology systems, or the information technology systems of our vendors, collaborators or other contractors or consultants.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To the extent we or our vendors, collaborators or other contractors or consultants experience a material system failure, accident, cyberattack or security breach, it could result in a material disruption of our development programs and our business operations, whether due to a loss of our trade secrets or other proprietary or confidential information or other disruptions. For example, the loss of clinical trial data from our ongoing or planned clinical trials could result in delays in our marketing approval efforts and significantly increase our costs to recover or reproduce the data. If we do not allocate and effectively manage the resources necessary to build and sustain the proper technology and cybersecurity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infrastructure, we could suffer significant business disruption (and may suffer such disruption notwithstanding the building and sustaining of such infrastructure), including transaction errors, supply chain or manufacturing interruptions, processing inefficiencies, data loss or the loss of or damage to intellectual property or other proprietary information.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To the extent that any disruption, cybersecurity incident or data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and reputation could be harmed and the further development and commercialization of our product candidates could be delayed. As a result of such an event, we may also be in breach of our contractual obligations. Due to applicable laws, rules, regulations and standards or contractual obligations, we may be held responsible for any system failure or security incident attributed to our third-party vendors as they relate to the information we share with them.</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 Any of the above could have a material adverse effect on our business, financial condition, results of operations or prospects.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While we do not currently use artificial intelligence, or AI, in a manner that is central to our operations, we may decide to do so, which may cause us to expend material resources in the future. Our current use of AI is limited, but we are still exposed to the inherent risks of the use of AI. The risks and challenges associated with the use of AI, whether in the more limited manner that we currently do so or the manner that we may do so in the future, include security and other risks to our confidential information, proprietary information and personal information, any of which may result in reputational harm and liability, “hallucinations” or other errors, and biases, among other potential adverse effects to our business.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may use and integrate AI into our business processes both in our own development and implementation of AI and through the adoption of commercially available tools. 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 Engaging appropriate resources (including computing power) to properly develop such technologies may require substantial expense and it may require substantial time to develop a properly functioning AI system, including because expertise in the use of AI for drug discovery or other life sciences applications is rare, and we may be unable to successfully integrate AI tools into our business or to do so efficiently. We may also need to license data from third-party sources or develop data internally, each of which may take substantial time and require substantial expense. If we enable or offer solutions that draw controversy due to perceived or actual negative societal impact, we may experience brand or reputational harm, competitive harm or legal liability.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Whether with our current, limited use of AI or a future, more fundamental use of AI, we are exposed to the risk related to the use and integration of AI.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No assurance can be provided that the use of AI will enhance our business or assist our business in becoming more efficient or profitable. The use of AI can give rise to intellectual property risks, including compromises to our proprietary intellectual property and risks of infringement or misappropriation of third party intellectual property, each of which may result in time-consuming and costly litigation and could require us to purchase a costly license or cease use of any material created using AI (and any intellectual property derived from such material). In addition, there is currently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significant uncertainty around the extent to which we would be able to claim ownership in, or otherwise protect using intellectual property or similar proprietary rights, any inventions or other materials, which we develop through the use of AI. As a result, we could have no remedy if third parties reused those same materials, or similar materials also generated by AI. In addition, the use of AI by any of our personnel or our third-party providers could include the input of proprietary or confidential information (including material non-public information) into any AI systems, resulting in such proprietary or confidential information becoming part of a dataset that is accessible by other third-party AI users. Not all providers of AI tools may offer an option to opt-out of usage of such inputs or prompts to further train the tools, and, even where we do opt-out, we cannot guarantee that the opt-out will be fully effective.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AI is generally highly reliant on the collection and analysis of large amounts of data. The data we may use to train AI models may be inaccurate, such as if we do not generate the data in an accurate manner, we license third-party data that is inaccurate, or we use a third-party AI system trained on data that is inaccurate. As a result of this potential inaccuracy, we may have analyses, recommendations or other outputs that are deficient, inaccurate, incomplete, overbroad, or biased, which may in turn adversely affect our business, financial condition and results of operations. Another data-related risk of the use of AI, even if the underlying data is accurate, is that AI may be subject to data herding and interconnectedness (i.e., multiple market participants utilizing the same data to generate the same or similar results), and if those results are important to our business, that may adversely impact our financial or operational condition.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Additionally, we may see increasing government and supranational regulation and ethical concerns related to AI use which may also significantly increase the burden and cost of research, development and compliance in this area. For example, the European Union began implementing the Artificial Intelligence Act, or the AI Act, on August 1, 2024, with a significant part of the law scheduled to come into effect in August 2026. As currently enacted, the AI Act, which may be amended as part of the EU’s Digital Omnibus,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Because of the interest in AI by many governmental authorities, there may be additional laws or regulations that limit our ability to use AI or apply novel liability frameworks to the use of AI, and these risks may cause adverse effects to our business, operations or financial condition.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may collaborate with third parties, or source work from vendors, that use AI, with or without our knowledge that those third parties or vendors are using AI. As a result, we may face the risks associated with the use of AI without knowingly using AI. Bad actors around the world also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be exposed to significant foreign exchange risk.</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consolidated financial statements are presented in U.S. dollars. We have operations in Denmark, and we incur portions of our expenses, and may in the future derive revenues, in a variety of currencies. As a result, we are exposed to foreign currency exchange risk as our results of operations and cash flows are subject to fluctuations in foreign currency exchange rates. Fluctuations in currency exchange rates have had, and will continue to have, an impact on our results as expressed in U.S. dollars.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financial condition, results of operations and cash flows.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0"/>
        </w:rPr>
        <w:t>Risks Related to Ownership of Our Common Stock and Operating as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An active trading market for our common stock may not continue to develop or be sustained.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common stock began trading on the Nasdaq Global Select Market on May 1, 2026. Prior to May 1, 2026, there was no public market for our common stock, and we cannot assure our stockholders that an active trading market for our shares will continue to develop or be sustained. As a result, it may be difficult for our stockholders to sell their shares without depressing the market price for the shares, or at all.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not be able to maintain a listing of our common stock on Nasdaq.</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must meet certain financial and liquidity criteria to maintain the listing of our common stock on Nasdaq.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The price of our common stock may be volatile and fluctuate substantially, which could result in substantial losses for our stockholders.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stock price is likely to be volatile. The stock market in general and the market for smaller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their shares. The market price for our common stock may be influenced by many factors, including:</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results of or developments in preclinical studies and clinical trials of our product candidates and any other product candidates we may develop or those of our competitors or potential collaborators;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our preclinical studies and clinical trials of our competitors;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success in commercializing any product candidates, if and when approved;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with respect to competitive products;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by us or our competitors of significant acquisitions, in-licensing arrangements, strategic partnerships, joint ventures or collaborations;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or disputes concerning patent applications, issued patents or other intellectual property or proprietary rights;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level of expenses related to our development efforts with respect to our product candidates and any future product candidates we may develop;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our efforts to discover, develop, acquire or in-license products, product candidates, technologies or data referencing rights, and the costs of commercializing any products we are able to successfully develop;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or expectations of additional financing efforts;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variations in our financial results or the financial results of companies that are perceived to be similar to us;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sales of common stock by us, our executive officers, directors or principal stockholders, or others;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240" w:after="283"/>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market conditions in the pharmaceutical and biotechnology sectors;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other factors described in this “Risk Factors” section.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Our executive officers, directors and principal stockholders, if they choose to act together, have the ability to significantly influence all matters submitted to stockholders for approval.</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executive officers, directors and our stockholders who beneficially owned more than 5% of our outstanding common stock as of June 30, 2026, in the aggregate, beneficially owned shares representing approximately 49% of our capital stock.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This concentration of ownership control may:</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 defer or prevent a change in control;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entrench our management and board of directors; or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 or prevent a merger, consolidation, takeover or other business combination involving us that other stockholders may desire. </w:t>
      </w:r>
    </w:p>
    <w:p>
      <w:pPr>
        <w:pStyle w:val="TextBody"/>
        <w:bidi w:val="0"/>
        <w:spacing w:before="360" w:after="283"/>
        <w:jc w:val="left"/>
        <w:rPr>
          <w:rFonts w:ascii="Times New Roman" w:hAnsi="Times New Roman"/>
          <w:sz w:val="20"/>
        </w:rPr>
      </w:pPr>
      <w:r>
        <w:rPr>
          <w:rFonts w:ascii="Arial" w:hAnsi="Arial"/>
          <w:b/>
          <w:i/>
          <w:color w:val="000000"/>
          <w:sz w:val="20"/>
        </w:rPr>
        <w:t>We have broad discretion in the use of our cash, cash equivalents and marketable securities and may not use them effectively.</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management has broad discretion in the application of our cash, cash equivalents and marketable securities and could use such funds in ways that do not improve our results of operations or enhance the value of our common stock or in ways that our stockholders may not agree with. The failure by our management to apply these funds effectively could result in financial losses that could cause the price of our common stock to decline and delay the development of our product candidates and any other product candidates we may develop.</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Because we do not anticipate paying any cash dividends on our capital stock in the foreseeable future, capital appreciation, if any, will be the sole source of gain for our stockholders.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have never declared or paid cash dividends on our capital stock. We currently intend to retain all of our future earnings, if any, to finance the growth and development of our business. As a result, capital appreciation, if any, of our common stock will be the sole source of gain for our stockholders for the foreseeable future. There is no guarantee that our common stock will appreciate or even maintain the price at which our stockholders purchase it.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A significant portion of our total outstanding shares are eligible to be sold into the market in the near future, which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Sales of a substantial number of shares of our common stock in the public market, or the perception in the market that the holders of a large number of shares intend to sell shares, could reduce the market price of our common stock. As of June 30, 2026, we had 46,705,410 shares of common stock outstanding, which includes the 19,262,500 shares that we sold in our IPO, which may be resold in the public market immediately without restriction, unless purchased by our affiliates. The remaining shares are currently restricted as a result of securities laws or lock-up agreements but will become eligible to be sold at various times after the expiration of the applicable lock-up period. The representatives of the underwriters may release some or all of the shares of common stock subject to lock-up agreements at any time and without notice, which would allow for earlier sales of shares in the public market.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certain of our executive officers, directors and stockholders affiliated with our directors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shares outside of a Rule 10b5-1 plan when they are not in possession of material, nonpublic information.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Moreover, beginning 180 days after the completion of the IPO, holders of an aggregate of 27,442,910 shares of our common stock will have rights, subject to specified conditions, to require us to file registration statements covering their shares or to include their shares in registration statements that we may file for ourselves or other stockholders. We have also filed a registration statement on Form S-8 to register shares of common stock that we may issue under our equity compensation plans. Shares registered under this registration statement on Form S-8 can be freely sold in the public market upon issuance, subject to volume limitations applicable to affiliates, vesting arrangements, exercise of options and warrants, and the lock-up agreements entered into in connection with the IPO.</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an “emerging growth company,” or EGC, as defined in the Jumpstart Our Business Startups Act of 2012, or the JOBS Act. We may remain an EGC until December 31, 2031, although if the market value of our common stock that is held by non-affiliates exceeds $700.0 million as of any June 30 before that time or if we have annual gross revenues of $1.235 billion or more in any fiscal year, we would cease to be an EGC as of December 31 of the applicable year. We also would cease to be an EGC if we issue more than $1.0 billion of non-convertible debt over a three-year period. For so long as we remain an EGC, we are permitted and intend to rely on exemptions from certain disclosure requirements that are applicable to other public companies that are not EGCs. These exemptions include:</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not being required to comply with the auditor attestation requirements in the assessment of our internal control over financial reporting;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disclosure obligations regarding executive compensation;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exemptions from the requirements of holding a nonbinding advisory vote on executive compensation and stockholder approval of any golden parachute payments not previously approved.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(1) irrevocably elect to “opt out” of such extended transition period or (2) no longer qualify as an EGC.</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are also a “smaller reporting company” as defined in the Securities Exchange Act of 1934,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We have incurred and will continue to incur increased costs as a result of operating as a public company, and our management has devoted and will continue to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As a public company, and particularly after we are no longer an EGC or smaller reporting company, we will incur significant legal, accounting and other expenses that we did not previously incur as a private company. The Sarbanes-Oxley Act of 2002, or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devote and will need to continue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Pursuant to Section 404 of the Sarbanes-Oxley Act, or Section 404, we will be required to furnish a report by our management on our internal control over financial reporting beginning with our filing of an Annual Report on Form 10-K with the SEC for the fiscal year ending December 31, 2027. However, while we remain an EGC,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are unable to conclude that our internal control over financial reporting is effective, it could result in an adverse reaction in the financial markets due to a loss of confidence in the reliability of our financial statements. Moreover, any material weakness or other deficiencies in our internal control over financial reporting may impede our ability to file timely and accurate reports with the SEC.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 connection with the audit of our consolidated financial statements for the years ended December 31, 2024 and 2025, we identified material weaknesses in our internal control over financial reporting. As defined in the standards of the Public Company Accounting Oversight Board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 material weaknesses were (1) controls around the financial statement close process were not designed or operating effectively, including as a result of an inappropriate segregation of conflicting duties and insufficient evidence of performance and review of controls, and (2) information system controls around user access, segregation of conflicting duties and change management were not designed or operating effectively.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To remediate these material weaknesses, we have made and plan to continue to make improvements to the design and operating effectiveness of our internal controls over financial reporting, including the monitoring, oversight and evaluation of our internal controls. We also plan to allocate more internal resources to our internal controls, including by hiring additional staff, and intend to engage external advisors to provide training and to reassess and redesign processes and develop new controls as appropriate, including information technology controls covering access and change management as well as cyber risks, and assisting with the evaluation and documentation of the risk assessment, design and operating effectiveness of our internal controls over financial reporting.</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We cannot assure our stockholders that the measures we have taken to date, and actions we plan to take in the future, will be sufficient to remediate the control deficiencies that led to the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in the future, or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r>
        <w:rPr>
          <w:rFonts w:ascii="Times New Roman" w:hAnsi="Times New Roman"/>
          <w:color w:val="000000"/>
          <w:sz w:val="20"/>
        </w:rPr>
        <w:t xml:space="preserve">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 classified board of directors such that only one of three classes of directors is elected each year;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allow the authorized number of our directors to be changed only by resolution of our board of directors;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limit the manner in which stockholders can remove directors from our board of directors;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advance notice requirements for stockholder proposals that can be acted on at stockholder meetings and nominations to our board of directors;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limit who may call stockholder meetings; </w:t>
      </w:r>
    </w:p>
    <w:p>
      <w:pPr>
        <w:pStyle w:val="TextBody"/>
        <w:bidi w:val="0"/>
        <w:spacing w:before="240" w:after="283"/>
        <w:jc w:val="center"/>
        <w:rPr>
          <w:rFonts w:ascii="Arial" w:hAnsi="Arial"/>
          <w:color w:val="000000"/>
          <w:sz w:val="20"/>
        </w:rPr>
      </w:pPr>
      <w:r>
        <w:rPr>
          <w:rFonts w:ascii="Arial" w:hAnsi="Arial"/>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the approval of the holders of at least 75% of the votes that all our stockholders would be entitled to cast to amend or repeal specified provisions of our certificate of incorporation or bylaws.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Our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any action asserting an internal corporate claim as defined in Section 115 of the DGCL.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These choice of forum provisions will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either exclusive forum provision contained in our certificate of incorporation to be inapplicable or unenforceable in an action, we may incur further significant additional costs associated with resolving such action in other jurisdictions, all of which could materially adversely affect our business, 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If securities analysts do not publish or cease publishing research or reports or publish misleading, inaccurate or unfavorable research about our business or if they publish negative evaluations of our stock, the price and trading volume of our stock could decline.</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trading market for our common stock relies,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Unfavorable global economic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The global credit and financial markets have in recent years experienced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terrorism, or other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Changes in tax laws or in their interpretation could adversely affect our business and financial condition.</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Regulatory guidance under the IRA, the OBBBA and additional legislation is and continues to be forthcoming, and such guidance could ultimately increase or lessen the impact of these laws on our business and financial condition. Congress may enact additional legislation, some of which could have an impact on our company. In addition, it is uncertain if and to what extent various states will conform to such legislation.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become involved in litigation that could divert management’s attention and harm our business, and insurance coverage may not be sufficient to cover all costs and damages.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Our insurance policies are expensive and only protect us from some business risks, which will leave us exposed to significant uninsured liabilities.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Some of the policies we currently maintain include property, general liability, crime insurance, workers’ compensation, and directors’ and officers’, employment practices and fiduciary liability insurance, clinical trial insurance, transportation insurance and umbrella insurance. We do not know, however, if we will be able to maintain insurance with adequate levels of coverage. Changes in the market conditions and our business operations may necessitate the addition of new insurance policies or change of our existing insurance policies. Any significant uninsured liability may require us to pay substantial amounts, which would adversely affect our financial position and results of operations.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Operating as a U.S. public company makes it more difficult and more expensive for us to obtain director and officer liability insurance, and in the future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Any significant uninsured liability may require us to pay substantial amounts, which would negatively affect our business, 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Our operations are vulnerable to interruption by disasters, terrorist activity, pandemics and other events beyond our control, which could harm our business.</w:t>
      </w:r>
      <w:r>
        <w:rPr>
          <w:rFonts w:ascii="Times New Roman" w:hAnsi="Times New Roman"/>
          <w:color w:val="000000"/>
          <w:sz w:val="20"/>
        </w:rPr>
        <w:t xml:space="preserve"> </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Our main facilities are located in Cambridge, Massachusetts and Copenhagen, Denmark.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bookmarkStart w:id="17" w:name="unregistered_sales_of_equity_securities"/>
      <w:bookmarkEnd w:id="17"/>
      <w:r>
        <w:rPr>
          <w:rFonts w:ascii="Arial" w:hAnsi="Arial"/>
          <w:b/>
          <w:color w:val="000000"/>
          <w:sz w:val="20"/>
        </w:rPr>
        <w:t>Item 2. Unregistered Sales of Equity Securities.</w:t>
      </w:r>
    </w:p>
    <w:p>
      <w:pPr>
        <w:pStyle w:val="TextBody"/>
        <w:bidi w:val="0"/>
        <w:spacing w:before="120" w:after="283"/>
        <w:jc w:val="left"/>
        <w:rPr>
          <w:rFonts w:ascii="Arial" w:hAnsi="Arial"/>
          <w:b/>
          <w:i/>
          <w:color w:val="000000"/>
          <w:sz w:val="20"/>
        </w:rPr>
      </w:pPr>
      <w:r>
        <w:rPr>
          <w:rFonts w:ascii="Arial" w:hAnsi="Arial"/>
          <w:b/>
          <w:i/>
          <w:color w:val="000000"/>
          <w:sz w:val="20"/>
        </w:rPr>
        <w:t>(a) Recent Sales of Unregistered Equity Securities</w:t>
      </w:r>
    </w:p>
    <w:p>
      <w:pPr>
        <w:pStyle w:val="TextBody"/>
        <w:bidi w:val="0"/>
        <w:spacing w:before="360" w:after="283"/>
        <w:jc w:val="left"/>
        <w:rPr>
          <w:rFonts w:ascii="Arial" w:hAnsi="Arial"/>
          <w:b/>
          <w:color w:val="000000"/>
          <w:sz w:val="20"/>
        </w:rPr>
      </w:pPr>
      <w:r>
        <w:rPr>
          <w:rFonts w:ascii="Arial" w:hAnsi="Arial"/>
          <w:b/>
          <w:color w:val="000000"/>
          <w:sz w:val="20"/>
        </w:rPr>
        <w:t>Equity Grants</w:t>
      </w:r>
    </w:p>
    <w:p>
      <w:pPr>
        <w:pStyle w:val="TextBody"/>
        <w:bidi w:val="0"/>
        <w:spacing w:before="240" w:after="283"/>
        <w:ind w:left="0" w:right="0" w:firstLine="720"/>
        <w:jc w:val="left"/>
        <w:rPr>
          <w:rFonts w:ascii="Times New Roman" w:hAnsi="Times New Roman"/>
          <w:sz w:val="20"/>
        </w:rPr>
      </w:pPr>
      <w:r>
        <w:rPr>
          <w:rFonts w:ascii="Arial" w:hAnsi="Arial"/>
          <w:color w:val="000000"/>
          <w:sz w:val="20"/>
        </w:rPr>
        <w:t>On April 23, 2026, we granted stock options to purchase an aggregate of 306,900 shares of common stock, at an exercise price per share equal to the initial public offering price, effective upon the pricing of the IPO.</w:t>
      </w:r>
      <w:r>
        <w:rPr>
          <w:rFonts w:ascii="Times New Roman" w:hAnsi="Times New Roman"/>
          <w:color w:val="000000"/>
          <w:sz w:val="20"/>
        </w:rPr>
        <w:t xml:space="preserve"> </w:t>
      </w:r>
      <w:r>
        <w:rPr>
          <w:rFonts w:ascii="Arial" w:hAnsi="Arial"/>
          <w:color w:val="000000"/>
          <w:sz w:val="20"/>
        </w:rPr>
        <w:t>These stock options become exercisable upon the schedule specified in the applicable option agreement.</w:t>
      </w:r>
    </w:p>
    <w:p>
      <w:pPr>
        <w:pStyle w:val="TextBody"/>
        <w:bidi w:val="0"/>
        <w:spacing w:before="240" w:after="283"/>
        <w:ind w:left="0" w:right="0" w:firstLine="720"/>
        <w:jc w:val="left"/>
        <w:rPr>
          <w:rFonts w:ascii="Arial" w:hAnsi="Arial"/>
          <w:color w:val="000000"/>
          <w:sz w:val="20"/>
        </w:rPr>
      </w:pPr>
      <w:r>
        <w:rPr>
          <w:rFonts w:ascii="Arial" w:hAnsi="Arial"/>
          <w:color w:val="000000"/>
          <w:sz w:val="20"/>
        </w:rPr>
        <w:t>The securities described above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or pursuant to Regulation S thereunder in that offers, sales and issuances were not made to persons in the United States and no directed selling efforts were made in the United States,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pStyle w:val="TextBody"/>
        <w:bidi w:val="0"/>
        <w:spacing w:before="240" w:after="283"/>
        <w:ind w:left="0" w:right="0" w:firstLine="720"/>
        <w:jc w:val="left"/>
        <w:rPr>
          <w:rFonts w:ascii="Arial" w:hAnsi="Arial"/>
          <w:color w:val="000000"/>
          <w:sz w:val="20"/>
        </w:rPr>
      </w:pPr>
      <w:r>
        <w:rPr>
          <w:rFonts w:ascii="Arial" w:hAnsi="Arial"/>
          <w:color w:val="000000"/>
          <w:sz w:val="20"/>
        </w:rPr>
        <w:t>On May 1, 2026, we filed a registration statement on Form S-8 under the Securities Act to register all of the shares of our common stock subject to outstanding options and warrants and all shares of our common stock otherwise issuable pursuant to our equity compensation plans.</w:t>
      </w:r>
    </w:p>
    <w:p>
      <w:pPr>
        <w:pStyle w:val="TextBody"/>
        <w:bidi w:val="0"/>
        <w:spacing w:before="360" w:after="283"/>
        <w:jc w:val="left"/>
        <w:rPr>
          <w:rFonts w:ascii="Arial" w:hAnsi="Arial"/>
          <w:b/>
          <w:color w:val="000000"/>
          <w:sz w:val="20"/>
        </w:rPr>
      </w:pPr>
      <w:r>
        <w:rPr>
          <w:rFonts w:ascii="Arial" w:hAnsi="Arial"/>
          <w:b/>
          <w:color w:val="000000"/>
          <w:sz w:val="20"/>
        </w:rPr>
        <w:t>Issuances of Common Stock upon Conversion of Preferred Stock</w:t>
      </w:r>
    </w:p>
    <w:p>
      <w:pPr>
        <w:pStyle w:val="TextBody"/>
        <w:bidi w:val="0"/>
        <w:spacing w:before="240" w:after="283"/>
        <w:jc w:val="center"/>
        <w:rPr>
          <w:rFonts w:ascii="Arial" w:hAnsi="Arial"/>
          <w:color w:val="000000"/>
          <w:sz w:val="20"/>
        </w:rPr>
      </w:pPr>
      <w:r>
        <w:rPr>
          <w:rFonts w:ascii="Arial" w:hAnsi="Arial"/>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720"/>
        <w:jc w:val="left"/>
        <w:rPr>
          <w:rFonts w:ascii="Arial" w:hAnsi="Arial"/>
          <w:color w:val="000000"/>
          <w:sz w:val="20"/>
        </w:rPr>
      </w:pPr>
      <w:r>
        <w:rPr>
          <w:rFonts w:ascii="Arial" w:hAnsi="Arial"/>
          <w:color w:val="000000"/>
          <w:sz w:val="20"/>
        </w:rPr>
        <w:t>On May 4, 2026, in connection with the closing of our IPO, all of our outstanding shares of preferred stock were converted into an aggregate of 26,496,910 shares of common stock. The conversion of preferred stock into common stock occurred in accordance with the terms of our certificate of incorporation and did not constitute a sale for purposes of the Securities Act.</w:t>
      </w:r>
    </w:p>
    <w:p>
      <w:pPr>
        <w:pStyle w:val="TextBody"/>
        <w:bidi w:val="0"/>
        <w:spacing w:before="360" w:after="283"/>
        <w:jc w:val="left"/>
        <w:rPr>
          <w:rFonts w:ascii="Arial" w:hAnsi="Arial"/>
          <w:b/>
          <w:i/>
          <w:color w:val="000000"/>
          <w:sz w:val="20"/>
        </w:rPr>
      </w:pPr>
      <w:r>
        <w:rPr>
          <w:rFonts w:ascii="Arial" w:hAnsi="Arial"/>
          <w:b/>
          <w:i/>
          <w:color w:val="000000"/>
          <w:sz w:val="20"/>
        </w:rPr>
        <w:t>(b) Use of Proceeds from IPO</w:t>
      </w:r>
    </w:p>
    <w:p>
      <w:pPr>
        <w:pStyle w:val="TextBody"/>
        <w:bidi w:val="0"/>
        <w:spacing w:before="120" w:after="283"/>
        <w:ind w:left="0" w:right="0" w:firstLine="720"/>
        <w:jc w:val="left"/>
        <w:rPr>
          <w:rFonts w:ascii="Arial" w:hAnsi="Arial"/>
          <w:color w:val="000000"/>
          <w:sz w:val="20"/>
        </w:rPr>
      </w:pPr>
      <w:r>
        <w:rPr>
          <w:rFonts w:ascii="Arial" w:hAnsi="Arial"/>
          <w:color w:val="000000"/>
          <w:sz w:val="20"/>
        </w:rPr>
        <w:t>On May 4, 2026, we closed our IPO, pursuant to which we issued and sold 19,262,500 shares of our common stock, including 2,512,500 shares sold by us pursuant to the full exercise of the underwriters’ option to purchase additional shares, at a public offering price of $18.00 per share for aggregate gross proceeds of approximately $346.7 million. We received aggregate net proceeds from the IPO of approximately $317.2 million, after deducting underwriting discounts and commissions and other offering expenses of $29.6 million payable by us. There has been no material change in our planned use of proceeds from the IPO as described in the final prospectus filed pursuant to Rule 424(b)(4) under the Securities Act with the SEC on May 1, 2026.</w:t>
      </w:r>
    </w:p>
    <w:p>
      <w:pPr>
        <w:pStyle w:val="TextBody"/>
        <w:bidi w:val="0"/>
        <w:spacing w:before="240" w:after="283"/>
        <w:jc w:val="center"/>
        <w:rPr>
          <w:rFonts w:ascii="Arial" w:hAnsi="Arial"/>
          <w:color w:val="000000"/>
          <w:sz w:val="20"/>
        </w:rPr>
      </w:pPr>
      <w:r>
        <w:rPr>
          <w:rFonts w:ascii="Arial" w:hAnsi="Arial"/>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8" w:name="defaults_upon_senior_securities"/>
      <w:bookmarkEnd w:id="18"/>
      <w:r>
        <w:rPr>
          <w:rFonts w:ascii="Arial" w:hAnsi="Arial"/>
          <w:b/>
          <w:color w:val="000000"/>
          <w:sz w:val="20"/>
        </w:rPr>
        <w:t>Item 3. Defaults Upon Senior Securities.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19" w:name="mine_safety_disclosures"/>
      <w:bookmarkEnd w:id="19"/>
      <w:r>
        <w:rPr>
          <w:rFonts w:ascii="Arial" w:hAnsi="Arial"/>
          <w:b/>
          <w:color w:val="000000"/>
          <w:sz w:val="20"/>
        </w:rPr>
        <w:t>Item 4. Mine Safety Disclosures.</w:t>
      </w:r>
    </w:p>
    <w:p>
      <w:pPr>
        <w:pStyle w:val="TextBody"/>
        <w:bidi w:val="0"/>
        <w:spacing w:before="120" w:after="283"/>
        <w:ind w:left="0" w:right="0" w:firstLine="720"/>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Times New Roman" w:hAnsi="Times New Roman"/>
          <w:sz w:val="20"/>
        </w:rPr>
      </w:pPr>
      <w:bookmarkStart w:id="20" w:name="other_information_2"/>
      <w:bookmarkEnd w:id="20"/>
      <w:r>
        <w:rPr>
          <w:rFonts w:ascii="Arial" w:hAnsi="Arial"/>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Director and Officer Trading Arrangements</w:t>
      </w:r>
    </w:p>
    <w:p>
      <w:pPr>
        <w:pStyle w:val="TextBody"/>
        <w:bidi w:val="0"/>
        <w:spacing w:before="120" w:after="283"/>
        <w:ind w:left="0" w:right="0" w:firstLine="720"/>
        <w:jc w:val="left"/>
        <w:rPr>
          <w:rFonts w:ascii="Times New Roman" w:hAnsi="Times New Roman"/>
          <w:sz w:val="20"/>
        </w:rPr>
      </w:pPr>
      <w:r>
        <w:rPr>
          <w:rFonts w:ascii="Arial" w:hAnsi="Arial"/>
          <w:color w:val="000000"/>
          <w:sz w:val="20"/>
        </w:rPr>
        <w:t>None</w:t>
      </w:r>
      <w:r>
        <w:rPr>
          <w:rFonts w:ascii="Times New Roman" w:hAnsi="Times New Roman"/>
          <w:color w:val="000000"/>
          <w:sz w:val="20"/>
        </w:rPr>
        <w:t xml:space="preserve"> </w:t>
      </w:r>
      <w:r>
        <w:rPr>
          <w:rFonts w:ascii="Arial" w:hAnsi="Arial"/>
          <w:color w:val="000000"/>
          <w:sz w:val="20"/>
        </w:rPr>
        <w:t>of our directors or officers (as defined in Rule 16a-1(f) under the Securities Exchange Act of 1934, as amended) adopted or terminated a Rule 10b5-1 trading arrangement or a non-Rule 10b5-1 trading arrangement (as defined in Item 408(c) of Regulation S-K) during the quarterly period covered by this report.</w:t>
      </w:r>
    </w:p>
    <w:p>
      <w:pPr>
        <w:pStyle w:val="TextBody"/>
        <w:bidi w:val="0"/>
        <w:spacing w:before="240" w:after="283"/>
        <w:jc w:val="center"/>
        <w:rPr>
          <w:rFonts w:ascii="Arial" w:hAnsi="Arial"/>
          <w:color w:val="000000"/>
          <w:sz w:val="20"/>
        </w:rPr>
      </w:pPr>
      <w:r>
        <w:rPr>
          <w:rFonts w:ascii="Arial" w:hAnsi="Arial"/>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1" w:name="exhibits"/>
      <w:bookmarkEnd w:id="21"/>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6"/>
        <w:gridCol w:w="146"/>
        <w:gridCol w:w="9203"/>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3" w:type="dxa"/>
            <w:tcBorders/>
            <w:vAlign w:val="center"/>
          </w:tcPr>
          <w:p>
            <w:pPr>
              <w:pStyle w:val="TableContents"/>
              <w:bidi w:val="0"/>
              <w:spacing w:before="0" w:after="283"/>
              <w:jc w:val="left"/>
              <w:rPr>
                <w:sz w:val="4"/>
                <w:szCs w:val="4"/>
              </w:rPr>
            </w:pPr>
            <w:r>
              <w:rPr>
                <w:sz w:val="4"/>
                <w:szCs w:val="4"/>
              </w:rPr>
            </w:r>
          </w:p>
        </w:tc>
      </w:tr>
      <w:tr>
        <w:trPr/>
        <w:tc>
          <w:tcPr>
            <w:tcW w:w="85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Exhibit</w:t>
            </w:r>
          </w:p>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Share Contribution and Exchange Agreement, dated March 30, 2026, by and between the registrant and the parties thereto (incorporated by reference to Exhibit 2.1 to the registrant’s Registration Statement on Form S-1 (File No. 333-294989) filed with the Securities and Exchange Commission on April 10,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Restated Certificate of Incorporation of Hemab Therapeutics Holdings, Inc. (incorporated by reference to Exhibit 3.1 to the registrant’s Current Report on Form 8-K (File No. 001-43250) filed with the Securities and Exchange Commission on May 4,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Amended and Restated Bylaws of Hemab Therapeutics Holdings, Inc. (incorporated by reference to Exhibit 3.2 to the registrant’s Current Report on Form 8-K (File No. 001-43250) filed with the Securities and Exchange Commission on May 4,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2026 Equity Incentive Plan (incorporated by reference to Exhibit 10.1 to Amendment No. 1 to the registrant’s Registration Statement on Form S-1 (File No. 333-294989) filed with the Securities and Exchange Commission on April 27,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Form of Agreements under 2026 Equity Incentive Plan (incorporated by reference to Exhibit 10.2 to Amendment No. 1 to the registrant’s Registration Statement on Form S-1 (File No. 333-294989) filed with the Securities and Exchange Commission on April 27,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2026 Employee Stock Purchase Plan (incorporated by reference to Exhibit 10.3 to Amendment No. 1 to the registrant’s Registration Statement on Form S-1 (File No. 333-294989) filed with the Securities and Exchange Commission on April 27,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Executive Employment Agreement by and between Hemab Therapeutics Inc. and Benny Sørensen, as amended (incorporated by reference to Exhibit 10.6 to Amendment No. 1 to the registrant’s Registration Statement on Form S-1 (File No. 333-294989) filed with the Securities and Exchange Commission on April 27,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Service Agreement by and between Hemab ApS and Mads Behrndt, as amended (incorporated by reference to Exhibit 10.7 to Amendment No. 1 to the registrant’s Registration Statement on Form S-1 (File No. 333-294989) filed with the Securities and Exchange Commission on April 27,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FF"/>
                  <w:sz w:val="20"/>
                  <w:u w:val="single"/>
                </w:rPr>
                <w:t>Employment Offer Letter by and between Hemab Therapeutics Inc. and Catherine Madigan, as amended (incorporated by reference to Exhibit 10.8 to Amendment No. 1 to the registrant’s Registration Statement on Form S-1 (File No. 333-294989) filed with the Securities and Exchange Commission on April 27,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Form of Indemnification Agreement between the Registrant and each of its Executive Officers and Directors (incorporated by reference to Exhibit 10.9 to Amendment No. 1 to the registrant’s Registration Statement on Form S-1 (File No. 333-294989) filed with the Securities and Exchange Commission on April 27,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Non-Employee Director Compensation Policy (incorporated by reference to Exhibit 10.10 to Amendment No. 1 to the registrant’s Registration Statement on Form S-1 (File No. 333-294989) filed with the Securities and Exchange Commission on April 27, 2026)</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ag-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ag-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ag-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ag-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r>
    </w:tbl>
    <w:p>
      <w:pPr>
        <w:pStyle w:val="TextBody"/>
        <w:bidi w:val="0"/>
        <w:spacing w:before="240" w:after="283"/>
        <w:jc w:val="center"/>
        <w:rPr>
          <w:rFonts w:ascii="Arial" w:hAnsi="Arial"/>
          <w:color w:val="000000"/>
          <w:sz w:val="20"/>
        </w:rPr>
      </w:pPr>
      <w:r>
        <w:rPr>
          <w:rFonts w:ascii="Arial" w:hAnsi="Arial"/>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5"/>
        <w:gridCol w:w="109"/>
        <w:gridCol w:w="9311"/>
      </w:tblGrid>
      <w:tr>
        <w:trPr/>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1" w:type="dxa"/>
            <w:tcBorders/>
            <w:vAlign w:val="center"/>
          </w:tcPr>
          <w:p>
            <w:pPr>
              <w:pStyle w:val="TableContents"/>
              <w:bidi w:val="0"/>
              <w:spacing w:before="0" w:after="283"/>
              <w:jc w:val="left"/>
              <w:rPr>
                <w:sz w:val="4"/>
                <w:szCs w:val="4"/>
              </w:rPr>
            </w:pPr>
            <w:r>
              <w:rPr>
                <w:sz w:val="4"/>
                <w:szCs w:val="4"/>
              </w:rPr>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101.SCH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101.CAL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101.DEF</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101.LAB</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101.PRE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cover page from the Company’s Quarterly Report on Form 10-Q for the three months ended June 30, 2026, has been formatted in Inline XBRL.</w:t>
            </w:r>
          </w:p>
        </w:tc>
      </w:tr>
    </w:tbl>
    <w:p>
      <w:pPr>
        <w:pStyle w:val="TextBody"/>
        <w:pBdr>
          <w:bottom w:val="single" w:sz="8" w:space="1" w:color="000000"/>
        </w:pBdr>
        <w:bidi w:val="0"/>
        <w:ind w:left="0" w:right="7920" w:hanging="0"/>
        <w:jc w:val="left"/>
        <w:rPr/>
      </w:pPr>
      <w:r>
        <w:rPr/>
        <w:t> </w:t>
      </w:r>
    </w:p>
    <w:p>
      <w:pPr>
        <w:pStyle w:val="TextBody"/>
        <w:bidi w:val="0"/>
        <w:spacing w:before="60" w:after="283"/>
        <w:jc w:val="left"/>
        <w:rPr>
          <w:rFonts w:ascii="Arial" w:hAnsi="Arial"/>
          <w:color w:val="000000"/>
          <w:sz w:val="20"/>
        </w:rPr>
      </w:pPr>
      <w:r>
        <w:rPr>
          <w:rFonts w:ascii="Arial" w:hAnsi="Arial"/>
          <w:color w:val="000000"/>
          <w:sz w:val="20"/>
        </w:rPr>
        <w:t>* Filed herewith.</w:t>
      </w:r>
    </w:p>
    <w:p>
      <w:pPr>
        <w:pStyle w:val="TextBody"/>
        <w:bidi w:val="0"/>
        <w:spacing w:before="40" w:after="283"/>
        <w:jc w:val="left"/>
        <w:rPr>
          <w:rFonts w:ascii="Arial" w:hAnsi="Arial"/>
          <w:color w:val="000000"/>
          <w:sz w:val="20"/>
        </w:rPr>
      </w:pPr>
      <w:r>
        <w:rPr>
          <w:rFonts w:ascii="Arial" w:hAnsi="Arial"/>
          <w:color w:val="000000"/>
          <w:sz w:val="20"/>
        </w:rPr>
        <w:t> The certifications attached as Exhibits 32.1 and 32.2 that accompany this Quarterly Report, are deemed furnished and not filed with the Securities and Exchange Commission and are not to be incorporated by reference into any filing of Hemab Therapeutics Holdings, Inc.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240" w:after="283"/>
        <w:jc w:val="center"/>
        <w:rPr>
          <w:rFonts w:ascii="Arial" w:hAnsi="Arial"/>
          <w:color w:val="000000"/>
          <w:sz w:val="20"/>
        </w:rPr>
      </w:pPr>
      <w:r>
        <w:rPr>
          <w:rFonts w:ascii="Arial" w:hAnsi="Arial"/>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2" w:name="signatures"/>
      <w:bookmarkEnd w:id="22"/>
      <w:r>
        <w:rPr>
          <w:rFonts w:ascii="Arial" w:hAnsi="Arial"/>
          <w:b/>
          <w:color w:val="000000"/>
          <w:sz w:val="20"/>
        </w:rPr>
        <w:t>SIGNATURES</w:t>
      </w:r>
    </w:p>
    <w:p>
      <w:pPr>
        <w:pStyle w:val="TextBody"/>
        <w:bidi w:val="0"/>
        <w:spacing w:before="240" w:after="283"/>
        <w:ind w:left="0" w:right="0" w:firstLine="72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93" w:type="dxa"/>
        <w:jc w:val="left"/>
        <w:tblInd w:w="0" w:type="dxa"/>
        <w:tblLayout w:type="fixed"/>
        <w:tblCellMar>
          <w:top w:w="28" w:type="dxa"/>
          <w:left w:w="28" w:type="dxa"/>
          <w:bottom w:w="28" w:type="dxa"/>
          <w:right w:w="28" w:type="dxa"/>
        </w:tblCellMar>
      </w:tblPr>
      <w:tblGrid>
        <w:gridCol w:w="2071"/>
        <w:gridCol w:w="406"/>
        <w:gridCol w:w="3916"/>
      </w:tblGrid>
      <w:tr>
        <w:trPr/>
        <w:tc>
          <w:tcPr>
            <w:tcW w:w="20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HEMAB THERAPEUTICS HOLDINGS, INC.</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83"/>
              <w:jc w:val="center"/>
              <w:rPr>
                <w:rFonts w:ascii="Arial" w:hAnsi="Arial"/>
                <w:color w:val="000000"/>
                <w:sz w:val="20"/>
              </w:rPr>
            </w:pPr>
            <w:r>
              <w:rPr>
                <w:rFonts w:ascii="Arial" w:hAnsi="Arial"/>
                <w:color w:val="000000"/>
                <w:sz w:val="20"/>
              </w:rPr>
              <w:t>/s/ Benny Sørensen, M.D., Ph.D.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Benny Sørensen, M.D., Ph.D.</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President and Chief Executive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(Principal Executive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4" w:space="0" w:color="000000"/>
            </w:tcBorders>
            <w:shd w:fill="FFFFFF" w:val="clear"/>
            <w:tcMar>
              <w:top w:w="0" w:type="dxa"/>
              <w:left w:w="0" w:type="dxa"/>
              <w:right w:w="0" w:type="dxa"/>
            </w:tcMar>
            <w:vAlign w:val="center"/>
          </w:tcPr>
          <w:p>
            <w:pPr>
              <w:pStyle w:val="TableContents"/>
              <w:pBdr>
                <w:bottom w:val="single" w:sz="2" w:space="1" w:color="000000"/>
              </w:pBdr>
              <w:bidi w:val="0"/>
              <w:spacing w:before="0" w:after="283"/>
              <w:jc w:val="center"/>
              <w:rPr>
                <w:rFonts w:ascii="Arial" w:hAnsi="Arial"/>
                <w:color w:val="000000"/>
                <w:sz w:val="20"/>
              </w:rPr>
            </w:pPr>
            <w:r>
              <w:rPr>
                <w:rFonts w:ascii="Arial" w:hAnsi="Arial"/>
                <w:color w:val="000000"/>
                <w:sz w:val="20"/>
              </w:rPr>
              <w:t>/s/ Mads Behrndt, M.Sc.</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Mads Behrndt, M.Sc.</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bookmarkStart w:id="23" w:name="coag-ex31_1.htm"/>
      <w:bookmarkStart w:id="24" w:name="kscoag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Benny Sørensen,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Hemab Therapeutics Holdings,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1951"/>
        <w:gridCol w:w="146"/>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Benny Sørensen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Benny Sørensen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oag-ex31_2.htm"/>
      <w:bookmarkStart w:id="26" w:name="kscoagex31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Mads Behrndt,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Hemab Therapeutics Holdings,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1996"/>
        <w:gridCol w:w="146"/>
        <w:gridCol w:w="406"/>
        <w:gridCol w:w="402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August 11, 2026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Mads Behrndt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Mads Behrndt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General Manager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oag-ex32_1.htm"/>
      <w:bookmarkStart w:id="28" w:name="kscoag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In connection with the Quarterly Report of Hemab Therapeutics Holdings,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ind w:left="72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ind w:left="72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581"/>
        <w:jc w:val="left"/>
        <w:rPr/>
      </w:pPr>
      <w:r>
        <w:rPr/>
        <w:t> </w:t>
      </w:r>
    </w:p>
    <w:tbl>
      <w:tblPr>
        <w:tblW w:w="5834" w:type="dxa"/>
        <w:jc w:val="left"/>
        <w:tblInd w:w="0" w:type="dxa"/>
        <w:tblLayout w:type="fixed"/>
        <w:tblCellMar>
          <w:top w:w="28" w:type="dxa"/>
          <w:left w:w="28" w:type="dxa"/>
          <w:bottom w:w="28" w:type="dxa"/>
          <w:right w:w="28" w:type="dxa"/>
        </w:tblCellMar>
      </w:tblPr>
      <w:tblGrid>
        <w:gridCol w:w="1951"/>
        <w:gridCol w:w="146"/>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Benny Sørensen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Benny Sørensen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oag-ex32_2.htm"/>
      <w:bookmarkStart w:id="30" w:name="kscoag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In connection with the Quarterly Report of Hemab Therapeutics Holdings,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ind w:left="72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ind w:left="72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581"/>
        <w:jc w:val="left"/>
        <w:rPr/>
      </w:pPr>
      <w:r>
        <w:rPr/>
        <w:t> </w:t>
      </w:r>
    </w:p>
    <w:tbl>
      <w:tblPr>
        <w:tblW w:w="6524" w:type="dxa"/>
        <w:jc w:val="left"/>
        <w:tblInd w:w="0" w:type="dxa"/>
        <w:tblLayout w:type="fixed"/>
        <w:tblCellMar>
          <w:top w:w="28" w:type="dxa"/>
          <w:left w:w="28" w:type="dxa"/>
          <w:bottom w:w="28" w:type="dxa"/>
          <w:right w:w="28" w:type="dxa"/>
        </w:tblCellMar>
      </w:tblPr>
      <w:tblGrid>
        <w:gridCol w:w="1951"/>
        <w:gridCol w:w="146"/>
        <w:gridCol w:w="406"/>
        <w:gridCol w:w="402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Mads Behrndt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Mads Behrndt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General Manager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14044/000119312526151378/d50309dex21.htm" TargetMode="External"/><Relationship Id="rId3" Type="http://schemas.openxmlformats.org/officeDocument/2006/relationships/hyperlink" Target="https://www.sec.gov/Archives/edgar/data/2114044/000119312526203988/d149100dex31.htm" TargetMode="External"/><Relationship Id="rId4" Type="http://schemas.openxmlformats.org/officeDocument/2006/relationships/hyperlink" Target="https://www.sec.gov/Archives/edgar/data/2114044/000119312526203988/d149100dex32.htm" TargetMode="External"/><Relationship Id="rId5" Type="http://schemas.openxmlformats.org/officeDocument/2006/relationships/hyperlink" Target="https://www.sec.gov/Archives/edgar/data/2114044/000119312526178809/d50309dex101.htm" TargetMode="External"/><Relationship Id="rId6" Type="http://schemas.openxmlformats.org/officeDocument/2006/relationships/hyperlink" Target="https://www.sec.gov/Archives/edgar/data/2114044/000119312526178809/d50309dex102.htm" TargetMode="External"/><Relationship Id="rId7" Type="http://schemas.openxmlformats.org/officeDocument/2006/relationships/hyperlink" Target="https://www.sec.gov/Archives/edgar/data/2114044/000119312526178809/d50309dex103.htm" TargetMode="External"/><Relationship Id="rId8" Type="http://schemas.openxmlformats.org/officeDocument/2006/relationships/hyperlink" Target="https://www.sec.gov/Archives/edgar/data/2114044/000119312526178809/d50309dex106.htm" TargetMode="External"/><Relationship Id="rId9" Type="http://schemas.openxmlformats.org/officeDocument/2006/relationships/hyperlink" Target="https://www.sec.gov/Archives/edgar/data/2114044/000119312526178809/d50309dex107.htm" TargetMode="External"/><Relationship Id="rId10" Type="http://schemas.openxmlformats.org/officeDocument/2006/relationships/hyperlink" Target="https://www.sec.gov/Archives/edgar/data/2114044/000119312526178809/d50309dex108.htm" TargetMode="External"/><Relationship Id="rId11" Type="http://schemas.openxmlformats.org/officeDocument/2006/relationships/hyperlink" Target="https://www.sec.gov/Archives/edgar/data/2114044/000119312526178809/d50309dex109.htm" TargetMode="External"/><Relationship Id="rId12" Type="http://schemas.openxmlformats.org/officeDocument/2006/relationships/hyperlink" Target="https://www.sec.gov/Archives/edgar/data/2114044/000119312526178809/d50309dex1010.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84712</Words>
  <Characters>472720</Characters>
  <CharactersWithSpaces>557402</CharactersWithSpaces>
  <Paragraphs>6286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