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5700d8k.htm"/>
      <w:bookmarkStart w:id="1" w:name="ksd3570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September 24,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Hemab Therapeutics Holdings,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498" w:type="dxa"/>
        <w:jc w:val="left"/>
        <w:tblInd w:w="0" w:type="dxa"/>
        <w:tblLayout w:type="fixed"/>
        <w:tblCellMar>
          <w:top w:w="0" w:type="dxa"/>
          <w:left w:w="0" w:type="dxa"/>
          <w:bottom w:w="0" w:type="dxa"/>
          <w:right w:w="0" w:type="dxa"/>
        </w:tblCellMar>
      </w:tblPr>
      <w:tblGrid>
        <w:gridCol w:w="2640"/>
        <w:gridCol w:w="76"/>
        <w:gridCol w:w="1352"/>
        <w:gridCol w:w="60"/>
        <w:gridCol w:w="1370"/>
      </w:tblGrid>
      <w:tr>
        <w:trPr/>
        <w:tc>
          <w:tcPr>
            <w:tcW w:w="264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640" w:type="dxa"/>
            <w:tcBorders/>
            <w:vAlign w:val="center"/>
          </w:tcPr>
          <w:p>
            <w:pPr>
              <w:pStyle w:val="TableContents"/>
              <w:bidi w:val="0"/>
              <w:spacing w:before="0" w:after="283"/>
              <w:jc w:val="center"/>
              <w:rPr>
                <w:b/>
              </w:rPr>
            </w:pPr>
            <w:r>
              <w:rPr>
                <w:b/>
              </w:rPr>
              <w:t>Delaware</w:t>
            </w:r>
          </w:p>
        </w:tc>
        <w:tc>
          <w:tcPr>
            <w:tcW w:w="76"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283"/>
              <w:jc w:val="center"/>
              <w:rPr>
                <w:b/>
              </w:rPr>
            </w:pPr>
            <w:r>
              <w:rPr>
                <w:b/>
              </w:rPr>
              <w:t>001-43250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41-4241952</w:t>
            </w:r>
          </w:p>
        </w:tc>
      </w:tr>
      <w:tr>
        <w:trPr/>
        <w:tc>
          <w:tcPr>
            <w:tcW w:w="264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76" w:type="dxa"/>
            <w:tcBorders/>
            <w:vAlign w:val="center"/>
          </w:tcPr>
          <w:p>
            <w:pPr>
              <w:pStyle w:val="TableContents"/>
              <w:bidi w:val="0"/>
              <w:spacing w:before="0" w:after="283"/>
              <w:jc w:val="left"/>
              <w:rPr/>
            </w:pPr>
            <w:r>
              <w:rPr/>
              <w:t> </w:t>
            </w:r>
          </w:p>
        </w:tc>
        <w:tc>
          <w:tcPr>
            <w:tcW w:w="1352"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4068" w:type="dxa"/>
            <w:gridSpan w:val="3"/>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4068" w:type="dxa"/>
            <w:gridSpan w:val="3"/>
            <w:tcBorders/>
            <w:vAlign w:val="center"/>
          </w:tcPr>
          <w:p>
            <w:pPr>
              <w:pStyle w:val="TableContents"/>
              <w:bidi w:val="0"/>
              <w:spacing w:before="0" w:after="283"/>
              <w:jc w:val="center"/>
              <w:rPr>
                <w:b/>
              </w:rPr>
            </w:pPr>
            <w:r>
              <w:rPr>
                <w:b/>
              </w:rPr>
              <w:t>101 Main Street, Suite 1220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sz w:val="4"/>
                <w:szCs w:val="4"/>
              </w:rPr>
            </w:pPr>
            <w:r>
              <w:rPr>
                <w:sz w:val="4"/>
                <w:szCs w:val="4"/>
              </w:rPr>
            </w:r>
          </w:p>
        </w:tc>
      </w:tr>
      <w:tr>
        <w:trPr/>
        <w:tc>
          <w:tcPr>
            <w:tcW w:w="4068" w:type="dxa"/>
            <w:gridSpan w:val="3"/>
            <w:tcBorders/>
            <w:vAlign w:val="center"/>
          </w:tcPr>
          <w:p>
            <w:pPr>
              <w:pStyle w:val="TableContents"/>
              <w:bidi w:val="0"/>
              <w:spacing w:before="0" w:after="283"/>
              <w:jc w:val="center"/>
              <w:rPr>
                <w:b/>
              </w:rPr>
            </w:pPr>
            <w:r>
              <w:rPr>
                <w:b/>
              </w:rPr>
              <w:t>Cambridge, Massachusetts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02142</w:t>
            </w:r>
          </w:p>
        </w:tc>
      </w:tr>
      <w:tr>
        <w:trPr/>
        <w:tc>
          <w:tcPr>
            <w:tcW w:w="4068"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(617) 553-3952</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90" w:type="dxa"/>
        <w:jc w:val="left"/>
        <w:tblInd w:w="0" w:type="dxa"/>
        <w:tblLayout w:type="fixed"/>
        <w:tblCellMar>
          <w:top w:w="0" w:type="dxa"/>
          <w:left w:w="0" w:type="dxa"/>
          <w:bottom w:w="0" w:type="dxa"/>
          <w:right w:w="0" w:type="dxa"/>
        </w:tblCellMar>
      </w:tblPr>
      <w:tblGrid>
        <w:gridCol w:w="4220"/>
        <w:gridCol w:w="60"/>
        <w:gridCol w:w="725"/>
        <w:gridCol w:w="60"/>
        <w:gridCol w:w="2825"/>
      </w:tblGrid>
      <w:tr>
        <w:trPr/>
        <w:tc>
          <w:tcPr>
            <w:tcW w:w="4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20"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pPr>
            <w:r>
              <w:rPr/>
              <w:t>COAG</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righ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86"/>
        <w:gridCol w:w="9319"/>
      </w:tblGrid>
      <w:tr>
        <w:trPr/>
        <w:tc>
          <w:tcPr>
            <w:tcW w:w="886" w:type="dxa"/>
            <w:tcBorders/>
            <w:vAlign w:val="center"/>
          </w:tcPr>
          <w:p>
            <w:pPr>
              <w:pStyle w:val="TableContents"/>
              <w:bidi w:val="0"/>
              <w:spacing w:before="0" w:after="283"/>
              <w:jc w:val="left"/>
              <w:rPr>
                <w:b/>
              </w:rPr>
            </w:pPr>
            <w:r>
              <w:rPr>
                <w:b/>
              </w:rPr>
              <w:t>Item 5.02.</w:t>
            </w:r>
          </w:p>
        </w:tc>
        <w:tc>
          <w:tcPr>
            <w:tcW w:w="931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24, 2026, upon the recommendation of the Nominating and Corporate Governance Committee of the Board of Directors (the “Board”) of Hemab Therapeutics Holdings, Inc. (the “Company”), the Board elected Keli Walbert to serve as a member of the Board, effective immediately. Ms. Walbert will serve as a Class I director with a term expiring at the 2027 annual meeting of stockholders and thereafter until her successor has been duly elected and qualified or until her earlier death, resignation or removal. The Board also elected Ms. Walbert to serve as a member of the Audit Committee of the Board (the “Audit Committee”). </w:t>
      </w:r>
    </w:p>
    <w:p>
      <w:pPr>
        <w:pStyle w:val="TextBody"/>
        <w:bidi w:val="0"/>
        <w:spacing w:before="240" w:after="0"/>
        <w:jc w:val="left"/>
        <w:rPr>
          <w:rFonts w:ascii="Times New Roman" w:hAnsi="Times New Roman"/>
          <w:sz w:val="20"/>
        </w:rPr>
      </w:pPr>
      <w:r>
        <w:rPr>
          <w:rFonts w:ascii="Times New Roman" w:hAnsi="Times New Roman"/>
          <w:sz w:val="20"/>
        </w:rPr>
        <w:t xml:space="preserve">There are no arrangements or understandings between Ms. Walbert and any other persons pursuant to which she was elected as a director. Ms. Walbert has no family relationships with any of the Company’s directors or executive officers. There are no transactions and no proposed transactions between Ms. Walbert and the Company that would be required to be disclosed pursuant to Item 404(a)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Ms. Walbert will be entitled to compensation for her service as a non-employee director in accordance with the Company’s non-employee director compensation policy. In accordance with the policy, effective September 24, 2026 (the “Grant Date”), Ms. Walbert will be granted an option to purchase 36,000 shares of the Company’s common stock at an exercise price equal to the closing price of the Company’s common stock on the Grant Date, which option will vest in equal monthly installments from the Grant Date until the third anniversary of the Grant Date, subject to Ms. Walbert’s continued service. In the event of a change in control of the Company, the vesting schedule of the option will accelerate in full. In addition, Ms. Walbert will receive annual cash compensation of $40,000 as a member of the Board, additional annual cash compensation of $10,000 as a member of the Audit Committee, annual equity grants in accordance with the non-employee director compensation policy and reimbursement for reasonable travel and out-of-pocket expenses incurred in connection with attending Board and committee meetings. </w:t>
      </w:r>
    </w:p>
    <w:p>
      <w:pPr>
        <w:pStyle w:val="TextBody"/>
        <w:bidi w:val="0"/>
        <w:spacing w:before="240" w:after="0"/>
        <w:jc w:val="left"/>
        <w:rPr>
          <w:rFonts w:ascii="Times New Roman" w:hAnsi="Times New Roman"/>
          <w:sz w:val="20"/>
        </w:rPr>
      </w:pPr>
      <w:r>
        <w:rPr>
          <w:rFonts w:ascii="Times New Roman" w:hAnsi="Times New Roman"/>
          <w:sz w:val="20"/>
        </w:rPr>
        <w:t xml:space="preserve">Ms. Walbert will enter into the Company’s standard form of indemnification agreement, a copy of which was filed as Exhibit 10.9 to Amendment No. 1 to the Company’s Registration Statement on Form S-1 (File No. 333-294989) filed with the Securities and Exchange Commission on April 27, 2026. Pursuant to the terms of the indemnification agreement, the Company may be required, among other things, to indemnify Ms. Walbert for certain expenses, including attorneys’ fees, judgments, fines and settlement amounts incurred by her in any action or proceeding arising out of her service as a director of the Company.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288" w:type="dxa"/>
        <w:jc w:val="left"/>
        <w:tblInd w:w="0" w:type="dxa"/>
        <w:tblLayout w:type="fixed"/>
        <w:tblCellMar>
          <w:top w:w="0" w:type="dxa"/>
          <w:left w:w="0" w:type="dxa"/>
          <w:bottom w:w="0" w:type="dxa"/>
          <w:right w:w="0" w:type="dxa"/>
        </w:tblCellMar>
      </w:tblPr>
      <w:tblGrid>
        <w:gridCol w:w="2510"/>
        <w:gridCol w:w="60"/>
        <w:gridCol w:w="23"/>
        <w:gridCol w:w="60"/>
        <w:gridCol w:w="650"/>
        <w:gridCol w:w="60"/>
        <w:gridCol w:w="492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2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283"/>
              <w:jc w:val="left"/>
              <w:rPr>
                <w:b/>
              </w:rPr>
            </w:pPr>
            <w:r>
              <w:rPr>
                <w:b/>
              </w:rPr>
              <w:t>HEMAB THERAPEUTICS HOLDINGS,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98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24,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Benny Sørensen, M.D., Ph.D.</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283"/>
              <w:jc w:val="left"/>
              <w:rPr/>
            </w:pPr>
            <w:r>
              <w:rPr/>
              <w:t>Benny Sørensen, M.D., Ph.D.</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283"/>
              <w:jc w:val="left"/>
              <w:rPr/>
            </w:pPr>
            <w:r>
              <w:rPr/>
              <w:t>President and 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823</Words>
  <Characters>4509</Characters>
  <CharactersWithSpaces>5322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