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0"/>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Hemab Therapeutics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5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360" w:type="dxa"/>
            <w:vAlign w:val="bottom"/>
          </w:tcPr>
          <w:p>
            <w:pPr>
              <w:jc w:val="right"/>
              <w:ind w:right="2160"/>
              <w:spacing w:after="0"/>
              <w:rPr>
                <w:sz w:val="20"/>
                <w:szCs w:val="20"/>
                <w:color w:val="auto"/>
              </w:rPr>
            </w:pPr>
            <w:r>
              <w:rPr>
                <w:rFonts w:ascii="Times New Roman" w:cs="Times New Roman" w:eastAsia="Times New Roman" w:hAnsi="Times New Roman"/>
                <w:sz w:val="18"/>
                <w:szCs w:val="18"/>
                <w:b w:val="1"/>
                <w:bCs w:val="1"/>
                <w:color w:val="auto"/>
              </w:rPr>
              <w:t>41-4241952</w:t>
            </w:r>
          </w:p>
        </w:tc>
      </w:tr>
      <w:tr>
        <w:trPr>
          <w:trHeight w:val="190"/>
        </w:trPr>
        <w:tc>
          <w:tcPr>
            <w:tcW w:w="5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(State of incorporation or organization)</w:t>
            </w:r>
          </w:p>
        </w:tc>
        <w:tc>
          <w:tcPr>
            <w:tcW w:w="5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93"/>
        </w:trPr>
        <w:tc>
          <w:tcPr>
            <w:tcW w:w="5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101 Main Street, Suite 1220</w:t>
            </w:r>
          </w:p>
        </w:tc>
        <w:tc>
          <w:tcPr>
            <w:tcW w:w="5360" w:type="dxa"/>
            <w:vAlign w:val="bottom"/>
          </w:tcPr>
          <w:p>
            <w:pPr>
              <w:spacing w:after="0"/>
              <w:rPr>
                <w:sz w:val="24"/>
                <w:szCs w:val="24"/>
                <w:color w:val="auto"/>
              </w:rPr>
            </w:pPr>
          </w:p>
        </w:tc>
      </w:tr>
      <w:tr>
        <w:trPr>
          <w:trHeight w:val="227"/>
        </w:trPr>
        <w:tc>
          <w:tcPr>
            <w:tcW w:w="5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Cambridge, MA</w:t>
            </w:r>
          </w:p>
        </w:tc>
        <w:tc>
          <w:tcPr>
            <w:tcW w:w="5360" w:type="dxa"/>
            <w:vAlign w:val="bottom"/>
          </w:tcPr>
          <w:p>
            <w:pPr>
              <w:jc w:val="right"/>
              <w:ind w:right="2380"/>
              <w:spacing w:after="0"/>
              <w:rPr>
                <w:sz w:val="20"/>
                <w:szCs w:val="20"/>
                <w:color w:val="auto"/>
              </w:rPr>
            </w:pPr>
            <w:r>
              <w:rPr>
                <w:rFonts w:ascii="Times New Roman" w:cs="Times New Roman" w:eastAsia="Times New Roman" w:hAnsi="Times New Roman"/>
                <w:sz w:val="18"/>
                <w:szCs w:val="18"/>
                <w:b w:val="1"/>
                <w:bCs w:val="1"/>
                <w:color w:val="auto"/>
              </w:rPr>
              <w:t>02142</w:t>
            </w:r>
          </w:p>
        </w:tc>
      </w:tr>
      <w:tr>
        <w:trPr>
          <w:trHeight w:val="190"/>
        </w:trPr>
        <w:tc>
          <w:tcPr>
            <w:tcW w:w="5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15"/>
        </w:trPr>
        <w:tc>
          <w:tcPr>
            <w:tcW w:w="11020" w:type="dxa"/>
            <w:vAlign w:val="bottom"/>
            <w:gridSpan w:val="3"/>
          </w:tcPr>
          <w:p>
            <w:pPr>
              <w:ind w:left="3100"/>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tc>
      </w:tr>
      <w:tr>
        <w:trPr>
          <w:trHeight w:val="367"/>
        </w:trPr>
        <w:tc>
          <w:tcPr>
            <w:tcW w:w="5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187"/>
        </w:trPr>
        <w:tc>
          <w:tcPr>
            <w:tcW w:w="5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 be so registered</w:t>
            </w:r>
          </w:p>
        </w:tc>
        <w:tc>
          <w:tcPr>
            <w:tcW w:w="5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r>
      <w:tr>
        <w:trPr>
          <w:trHeight w:val="232"/>
        </w:trPr>
        <w:tc>
          <w:tcPr>
            <w:tcW w:w="5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$0.0001 par value per share</w:t>
            </w:r>
          </w:p>
        </w:tc>
        <w:tc>
          <w:tcPr>
            <w:tcW w:w="100" w:type="dxa"/>
            <w:vAlign w:val="bottom"/>
          </w:tcPr>
          <w:p>
            <w:pPr>
              <w:spacing w:after="0"/>
              <w:rPr>
                <w:sz w:val="20"/>
                <w:szCs w:val="20"/>
                <w:color w:val="auto"/>
              </w:rPr>
            </w:pPr>
          </w:p>
        </w:tc>
        <w:tc>
          <w:tcPr>
            <w:tcW w:w="5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208915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ind w:right="7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740"/>
        <w:spacing w:after="0" w:line="239"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concurrently with a Regulation A offering, check the following box.  </w:t>
      </w:r>
      <w:r>
        <w:rPr>
          <w:rFonts w:ascii="MS PGothic" w:cs="MS PGothic" w:eastAsia="MS PGothic" w:hAnsi="MS PGothic"/>
          <w:sz w:val="18"/>
          <w:szCs w:val="18"/>
          <w:color w:val="auto"/>
        </w:rPr>
        <w:t>☐</w:t>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Act registration statement or Regulation A offering statement file number to which this form relates: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333-294989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bookmarkStart w:id="1" w:name="page2"/>
    <w:bookmarkEnd w:id="1"/>
    <w:p>
      <w:pPr>
        <w:ind w:left="2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REQUIRED IN REGISTRATION STATEMENT</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Description of Registrant’s Securities to be Registered.</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description under the heading “Description of Capital Stock” relating to the common stock, $0.0001 par value per share, of Hemab Therapeutics Holdings, Inc. (the “Registrant”) in the prospectus included in the Registrant’s Registration Statement on Form S-1 (File No. 333-294989), initially filed on April 10, 2026, as amended, including exhibits, and as may be subsequently amended (the “Registration Statement”), filed under the Securities Act of 1933, as amended (the “Securities Act”), with the Securities and Exchange Commission (the “Commission”) is incorporated herein by reference. Any form of prospectus subsequently filed by the Registrant with the Commission pursuant to Rule 424(b) under the Securities Act that constitutes part of the Registration Statement shall be deemed to be incorporated herein by reference.</w:t>
      </w:r>
    </w:p>
    <w:p>
      <w:pPr>
        <w:spacing w:after="0" w:line="33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Pursuant to the Instructions as to Exhibits for Form 8-A, no exhibits are required to be filed because no other securities of the Registrant are registered on The Nasdaq Stock Market LLC and the securities registered hereby are not being registered pursuant to Section 12(g) of the Securities Exchange Act of 1934, as amended.</w:t>
      </w:r>
    </w:p>
    <w:p>
      <w:pPr>
        <w:sectPr>
          <w:pgSz w:w="11900" w:h="16838" w:orient="portrait"/>
          <w:cols w:equalWidth="0" w:num="1">
            <w:col w:w="10980"/>
          </w:cols>
          <w:pgMar w:left="440" w:top="266" w:right="479" w:bottom="1440" w:gutter="0" w:footer="0" w:header="0"/>
        </w:sectPr>
      </w:pPr>
    </w:p>
    <w:bookmarkStart w:id="2" w:name="page3"/>
    <w:bookmarkEnd w:id="2"/>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Hemab Therapeutics Holdings,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Benny Sørensen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Benny Sørensen</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27, 2026</w:t>
      </w:r>
    </w:p>
    <w:sectPr>
      <w:pgSz w:w="11900" w:h="16838" w:orient="portrait"/>
      <w:cols w:equalWidth="0" w:num="1">
        <w:col w:w="10520"/>
      </w:cols>
      <w:pgMar w:left="440" w:top="266"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2026-04-27T15:09:36Z</dcterms:created>
  <dcterms:modified xsi:type="dcterms:W3CDTF">2026-04-27T15:09:36Z</dcterms:modified>
</cp:coreProperties>
</file>