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647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647690"/>
                    </a:xfrm>
                    <a:prstGeom prst="rect">
                      <a:avLst/>
                    </a:prstGeom>
                    <a:noFill/>
                  </pic:spPr>
                </pic:pic>
              </a:graphicData>
            </a:graphic>
          </wp:anchor>
        </w:drawing>
      </w:r>
    </w:p>
    <w:p>
      <w:pPr>
        <w:sectPr>
          <w:pgSz w:w="11900" w:h="16838" w:orient="portrait"/>
          <w:cols w:equalWidth="0" w:num="1">
            <w:col w:w="10940"/>
          </w:cols>
          <w:pgMar w:left="480" w:top="230" w:right="479" w:bottom="1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Behrndt-Eriksen Mads Nikolaj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960" w:type="dxa"/>
            <w:vAlign w:val="bottom"/>
            <w:tcBorders>
              <w:top w:val="single" w:sz="8" w:color="0000EE"/>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04/30/2026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Hemab Therapeutics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COAG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77"/>
        <w:spacing w:after="0" w:line="313" w:lineRule="auto"/>
        <w:rPr>
          <w:sz w:val="20"/>
          <w:szCs w:val="20"/>
          <w:color w:val="auto"/>
        </w:rPr>
      </w:pPr>
      <w:r>
        <w:rPr>
          <w:rFonts w:ascii="Times New Roman" w:cs="Times New Roman" w:eastAsia="Times New Roman" w:hAnsi="Times New Roman"/>
          <w:sz w:val="18"/>
          <w:szCs w:val="18"/>
          <w:color w:val="0000FF"/>
        </w:rPr>
        <w:t>C/O HEMAB THERAPEUTICS HOLDINGS, INC.</w:t>
      </w:r>
    </w:p>
    <w:p>
      <w:pPr>
        <w:ind w:left="140"/>
        <w:spacing w:after="0"/>
        <w:rPr>
          <w:sz w:val="20"/>
          <w:szCs w:val="20"/>
          <w:color w:val="auto"/>
        </w:rPr>
      </w:pPr>
      <w:r>
        <w:rPr>
          <w:rFonts w:ascii="Times New Roman" w:cs="Times New Roman" w:eastAsia="Times New Roman" w:hAnsi="Times New Roman"/>
          <w:sz w:val="18"/>
          <w:szCs w:val="18"/>
          <w:color w:val="0000FF"/>
        </w:rPr>
        <w:t>101 MAIN STREET, SUITE 1220</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02142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700"/>
              <w:spacing w:after="0"/>
              <w:rPr>
                <w:sz w:val="20"/>
                <w:szCs w:val="20"/>
                <w:color w:val="auto"/>
              </w:rPr>
            </w:pPr>
            <w:r>
              <w:rPr>
                <w:rFonts w:ascii="Times New Roman" w:cs="Times New Roman" w:eastAsia="Times New Roman" w:hAnsi="Times New Roman"/>
                <w:sz w:val="20"/>
                <w:szCs w:val="20"/>
                <w:color w:val="0000FF"/>
              </w:rPr>
              <w:t>50,600</w:t>
            </w:r>
          </w:p>
        </w:tc>
        <w:tc>
          <w:tcPr>
            <w:tcW w:w="900" w:type="dxa"/>
            <w:vAlign w:val="bottom"/>
            <w:tcBorders>
              <w:bottom w:val="single" w:sz="8" w:color="2C2C2C"/>
            </w:tcBorders>
          </w:tcPr>
          <w:p>
            <w:pPr>
              <w:ind w:left="820"/>
              <w:spacing w:after="0"/>
              <w:rPr>
                <w:sz w:val="20"/>
                <w:szCs w:val="20"/>
                <w:color w:val="auto"/>
              </w:rPr>
            </w:pPr>
            <w:r>
              <w:rPr>
                <w:rFonts w:ascii="Times New Roman" w:cs="Times New Roman" w:eastAsia="Times New Roman" w:hAnsi="Times New Roman"/>
                <w:sz w:val="20"/>
                <w:szCs w:val="20"/>
                <w:color w:val="0000FF"/>
                <w:w w:val="89"/>
              </w:rPr>
              <w:t>I</w:t>
            </w:r>
          </w:p>
        </w:tc>
        <w:tc>
          <w:tcPr>
            <w:tcW w:w="192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700"/>
              <w:spacing w:after="0"/>
              <w:rPr>
                <w:sz w:val="20"/>
                <w:szCs w:val="20"/>
                <w:color w:val="auto"/>
              </w:rPr>
            </w:pPr>
            <w:r>
              <w:rPr>
                <w:rFonts w:ascii="Times New Roman" w:cs="Times New Roman" w:eastAsia="Times New Roman" w:hAnsi="Times New Roman"/>
                <w:sz w:val="20"/>
                <w:szCs w:val="20"/>
                <w:color w:val="0000FF"/>
              </w:rPr>
              <w:t>36,520</w:t>
            </w:r>
          </w:p>
        </w:tc>
        <w:tc>
          <w:tcPr>
            <w:tcW w:w="900" w:type="dxa"/>
            <w:vAlign w:val="bottom"/>
            <w:tcBorders>
              <w:bottom w:val="single" w:sz="8" w:color="2C2C2C"/>
            </w:tcBorders>
          </w:tcPr>
          <w:p>
            <w:pPr>
              <w:ind w:left="820"/>
              <w:spacing w:after="0"/>
              <w:rPr>
                <w:sz w:val="20"/>
                <w:szCs w:val="20"/>
                <w:color w:val="auto"/>
              </w:rPr>
            </w:pPr>
            <w:r>
              <w:rPr>
                <w:rFonts w:ascii="Times New Roman" w:cs="Times New Roman" w:eastAsia="Times New Roman" w:hAnsi="Times New Roman"/>
                <w:sz w:val="20"/>
                <w:szCs w:val="20"/>
                <w:color w:val="0000FF"/>
                <w:w w:val="89"/>
              </w:rPr>
              <w:t>I</w:t>
            </w:r>
          </w:p>
        </w:tc>
        <w:tc>
          <w:tcPr>
            <w:tcW w:w="192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5"/>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6"/>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Warrants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03/20/2032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8"/>
              </w:rPr>
              <w:t>94,974</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2.16</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Warrants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08/13/2033</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5"/>
              </w:rPr>
              <w:t>134,530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7.07</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Warrants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01/28/2036</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5"/>
              </w:rPr>
              <w:t>195,206</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9"/>
              </w:rPr>
              <w:t>6</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by Mabe Invest ApS ("Mabe"). The Reporting Person is the sole shareholder of Mabe.</w:t>
      </w:r>
    </w:p>
    <w:p>
      <w:pPr>
        <w:spacing w:after="0" w:line="52" w:lineRule="exact"/>
        <w:rPr>
          <w:rFonts w:ascii="Times New Roman" w:cs="Times New Roman" w:eastAsia="Times New Roman" w:hAnsi="Times New Roman"/>
          <w:sz w:val="15"/>
          <w:szCs w:val="15"/>
          <w:color w:val="008000"/>
        </w:rPr>
      </w:pPr>
    </w:p>
    <w:p>
      <w:pPr>
        <w:ind w:left="40" w:right="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by Ebumab Holding ApS ("Ebumab"). Mabe is a shareholder of Ebumab. The Reporting Person disclaims beneficial ownership of the securities except to the extent of his pecuniary interest therein.</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warrant was granted on March 21, 2022 and is fully vested.</w:t>
      </w:r>
    </w:p>
    <w:p>
      <w:pPr>
        <w:spacing w:after="0" w:line="52" w:lineRule="exact"/>
        <w:rPr>
          <w:rFonts w:ascii="Times New Roman" w:cs="Times New Roman" w:eastAsia="Times New Roman" w:hAnsi="Times New Roman"/>
          <w:sz w:val="15"/>
          <w:szCs w:val="15"/>
          <w:color w:val="008000"/>
        </w:rPr>
      </w:pPr>
    </w:p>
    <w:p>
      <w:pPr>
        <w:ind w:left="40" w:right="1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warrant was granted on August 14, 2023. The shares underlying the warrant vest over four years, with 25% of the shares having vested on March 1, 2024 and the remaining shares vesting in equal monthly installments thereafter.</w:t>
      </w:r>
    </w:p>
    <w:p>
      <w:pPr>
        <w:spacing w:after="0" w:line="17" w:lineRule="exact"/>
        <w:rPr>
          <w:rFonts w:ascii="Times New Roman" w:cs="Times New Roman" w:eastAsia="Times New Roman" w:hAnsi="Times New Roman"/>
          <w:sz w:val="15"/>
          <w:szCs w:val="15"/>
          <w:color w:val="008000"/>
        </w:rPr>
      </w:pPr>
    </w:p>
    <w:p>
      <w:pPr>
        <w:ind w:left="40" w:right="4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warrant was granted on January 29, 2026. The shares underlying the warrant vest over four years, with 25% of the shares vesting on January 1, 2027 and the remaining shares vesting in equal monthly installments thereafter.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Chief Financial Officer and General Manager 24.1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Mads Nikolaj Behrndt-</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04/30/2026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Eriksen</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1"/>
          <w:szCs w:val="21"/>
          <w:b w:val="1"/>
          <w:bCs w:val="1"/>
          <w:color w:val="auto"/>
        </w:rPr>
        <w:t>Exhibit 24.1</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212" w:lineRule="exact"/>
        <w:rPr>
          <w:sz w:val="20"/>
          <w:szCs w:val="20"/>
          <w:color w:val="auto"/>
        </w:rPr>
      </w:pPr>
    </w:p>
    <w:p>
      <w:pPr>
        <w:jc w:val="both"/>
        <w:spacing w:after="0" w:line="246" w:lineRule="exact"/>
        <w:rPr>
          <w:sz w:val="20"/>
          <w:szCs w:val="20"/>
          <w:color w:val="auto"/>
        </w:rPr>
      </w:pPr>
      <w:r>
        <w:rPr>
          <w:rFonts w:ascii="Arial" w:cs="Arial" w:eastAsia="Arial" w:hAnsi="Arial"/>
          <w:sz w:val="21"/>
          <w:szCs w:val="21"/>
          <w:color w:val="auto"/>
        </w:rPr>
        <w:t>The undersigned hereby makes, constitutes and appoints each of Benny S</w:t>
      </w:r>
      <w:r>
        <w:rPr>
          <w:rFonts w:ascii="Arial" w:cs="Arial" w:eastAsia="Arial" w:hAnsi="Arial"/>
          <w:sz w:val="20"/>
          <w:szCs w:val="20"/>
          <w:color w:val="auto"/>
        </w:rPr>
        <w:t>ørensen and Klaus Krainer Jønsson</w:t>
      </w:r>
      <w:r>
        <w:rPr>
          <w:rFonts w:ascii="Arial" w:cs="Arial" w:eastAsia="Arial" w:hAnsi="Arial"/>
          <w:sz w:val="21"/>
          <w:szCs w:val="21"/>
          <w:color w:val="auto"/>
        </w:rPr>
        <w:t>, or either of them acting singly, and with full power of substitution, re-substitution and delegation, the undersigned’s true and lawful attorney</w:t>
      </w:r>
      <w:r>
        <w:rPr>
          <w:rFonts w:ascii="MS PGothic" w:cs="MS PGothic" w:eastAsia="MS PGothic" w:hAnsi="MS PGothic"/>
          <w:sz w:val="21"/>
          <w:szCs w:val="21"/>
          <w:color w:val="auto"/>
        </w:rPr>
        <w:t>‑</w:t>
      </w:r>
      <w:r>
        <w:rPr>
          <w:rFonts w:ascii="Arial" w:cs="Arial" w:eastAsia="Arial" w:hAnsi="Arial"/>
          <w:sz w:val="21"/>
          <w:szCs w:val="21"/>
          <w:color w:val="auto"/>
        </w:rPr>
        <w:t>in</w:t>
      </w:r>
      <w:r>
        <w:rPr>
          <w:rFonts w:ascii="MS PGothic" w:cs="MS PGothic" w:eastAsia="MS PGothic" w:hAnsi="MS PGothic"/>
          <w:sz w:val="21"/>
          <w:szCs w:val="21"/>
          <w:color w:val="auto"/>
        </w:rPr>
        <w:t>‑</w:t>
      </w:r>
      <w:r>
        <w:rPr>
          <w:rFonts w:ascii="Arial" w:cs="Arial" w:eastAsia="Arial" w:hAnsi="Arial"/>
          <w:sz w:val="21"/>
          <w:szCs w:val="21"/>
          <w:color w:val="auto"/>
        </w:rPr>
        <w:t>fact (each of such persons and their substitutes and delegees being referred to herein as the "Attorney-in-Fact"), with full power to act for the undersigned and in the undersigned's name, place and stead, in the undersigned’s capacity as an officer, director or stockholder of Hemab Therapeutics Holdings, Inc. (the “Company”), to:</w:t>
      </w:r>
    </w:p>
    <w:p>
      <w:pPr>
        <w:spacing w:after="0" w:line="178" w:lineRule="exact"/>
        <w:rPr>
          <w:sz w:val="20"/>
          <w:szCs w:val="20"/>
          <w:color w:val="auto"/>
        </w:rPr>
      </w:pPr>
    </w:p>
    <w:p>
      <w:pPr>
        <w:jc w:val="both"/>
        <w:ind w:left="720" w:hanging="355"/>
        <w:spacing w:after="0" w:line="244" w:lineRule="auto"/>
        <w:tabs>
          <w:tab w:leader="none" w:pos="720" w:val="left"/>
        </w:tabs>
        <w:numPr>
          <w:ilvl w:val="0"/>
          <w:numId w:val="5"/>
        </w:numPr>
        <w:rPr>
          <w:rFonts w:ascii="Arial" w:cs="Arial" w:eastAsia="Arial" w:hAnsi="Arial"/>
          <w:sz w:val="21"/>
          <w:szCs w:val="21"/>
          <w:color w:val="auto"/>
        </w:rPr>
      </w:pPr>
      <w:r>
        <w:rPr>
          <w:rFonts w:ascii="Arial" w:cs="Arial" w:eastAsia="Arial" w:hAnsi="Arial"/>
          <w:sz w:val="21"/>
          <w:szCs w:val="21"/>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and/or modify codes and passwords enabling the undersigned to make filings and submissions utilizing the EDGAR system;</w:t>
      </w:r>
    </w:p>
    <w:p>
      <w:pPr>
        <w:spacing w:after="0" w:line="202" w:lineRule="exact"/>
        <w:rPr>
          <w:rFonts w:ascii="Arial" w:cs="Arial" w:eastAsia="Arial" w:hAnsi="Arial"/>
          <w:sz w:val="21"/>
          <w:szCs w:val="21"/>
          <w:color w:val="auto"/>
        </w:rPr>
      </w:pPr>
    </w:p>
    <w:p>
      <w:pPr>
        <w:jc w:val="both"/>
        <w:ind w:left="720" w:hanging="355"/>
        <w:spacing w:after="0" w:line="245" w:lineRule="auto"/>
        <w:tabs>
          <w:tab w:leader="none" w:pos="720" w:val="left"/>
        </w:tabs>
        <w:numPr>
          <w:ilvl w:val="0"/>
          <w:numId w:val="5"/>
        </w:numPr>
        <w:rPr>
          <w:rFonts w:ascii="Arial" w:cs="Arial" w:eastAsia="Arial" w:hAnsi="Arial"/>
          <w:sz w:val="21"/>
          <w:szCs w:val="21"/>
          <w:color w:val="auto"/>
        </w:rPr>
      </w:pPr>
      <w:r>
        <w:rPr>
          <w:rFonts w:ascii="Arial" w:cs="Arial" w:eastAsia="Arial" w:hAnsi="Arial"/>
          <w:sz w:val="21"/>
          <w:szCs w:val="21"/>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201" w:lineRule="exact"/>
        <w:rPr>
          <w:rFonts w:ascii="Arial" w:cs="Arial" w:eastAsia="Arial" w:hAnsi="Arial"/>
          <w:sz w:val="21"/>
          <w:szCs w:val="21"/>
          <w:color w:val="auto"/>
        </w:rPr>
      </w:pPr>
    </w:p>
    <w:p>
      <w:pPr>
        <w:jc w:val="both"/>
        <w:ind w:left="720" w:hanging="355"/>
        <w:spacing w:after="0" w:line="256" w:lineRule="auto"/>
        <w:tabs>
          <w:tab w:leader="none" w:pos="720" w:val="left"/>
        </w:tabs>
        <w:numPr>
          <w:ilvl w:val="0"/>
          <w:numId w:val="5"/>
        </w:numPr>
        <w:rPr>
          <w:rFonts w:ascii="Arial" w:cs="Arial" w:eastAsia="Arial" w:hAnsi="Arial"/>
          <w:sz w:val="21"/>
          <w:szCs w:val="21"/>
          <w:color w:val="auto"/>
        </w:rPr>
      </w:pPr>
      <w:r>
        <w:rPr>
          <w:rFonts w:ascii="Arial" w:cs="Arial" w:eastAsia="Arial" w:hAnsi="Arial"/>
          <w:sz w:val="21"/>
          <w:szCs w:val="21"/>
          <w:color w:val="auto"/>
        </w:rPr>
        <w:t xml:space="preserve">Submit and file SEC Filings with the SEC utilizing the EDGAR system or any such third-party system with which the Company, the undersigned or the Attorney-in-Fact uses to make EDGAR filings with the SEC or cause them to be submitted and filed by a person appointed under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below;</w:t>
      </w:r>
    </w:p>
    <w:p>
      <w:pPr>
        <w:spacing w:after="0" w:line="187" w:lineRule="exact"/>
        <w:rPr>
          <w:rFonts w:ascii="Arial" w:cs="Arial" w:eastAsia="Arial" w:hAnsi="Arial"/>
          <w:sz w:val="21"/>
          <w:szCs w:val="21"/>
          <w:color w:val="auto"/>
        </w:rPr>
      </w:pPr>
    </w:p>
    <w:p>
      <w:pPr>
        <w:ind w:left="720" w:hanging="355"/>
        <w:spacing w:after="0" w:line="275" w:lineRule="auto"/>
        <w:tabs>
          <w:tab w:leader="none" w:pos="720" w:val="left"/>
        </w:tabs>
        <w:numPr>
          <w:ilvl w:val="0"/>
          <w:numId w:val="5"/>
        </w:numPr>
        <w:rPr>
          <w:rFonts w:ascii="Arial" w:cs="Arial" w:eastAsia="Arial" w:hAnsi="Arial"/>
          <w:sz w:val="21"/>
          <w:szCs w:val="21"/>
          <w:color w:val="auto"/>
        </w:rPr>
      </w:pPr>
      <w:r>
        <w:rPr>
          <w:rFonts w:ascii="Arial" w:cs="Arial" w:eastAsia="Arial" w:hAnsi="Arial"/>
          <w:sz w:val="21"/>
          <w:szCs w:val="21"/>
          <w:color w:val="auto"/>
        </w:rPr>
        <w:t>File, submit or otherwise deliver SEC Filings to any securities exchange on which the Company’s securities may be listed or traded;</w:t>
      </w:r>
    </w:p>
    <w:p>
      <w:pPr>
        <w:spacing w:after="0" w:line="166" w:lineRule="exact"/>
        <w:rPr>
          <w:rFonts w:ascii="Arial" w:cs="Arial" w:eastAsia="Arial" w:hAnsi="Arial"/>
          <w:sz w:val="21"/>
          <w:szCs w:val="21"/>
          <w:color w:val="auto"/>
        </w:rPr>
      </w:pPr>
    </w:p>
    <w:p>
      <w:pPr>
        <w:jc w:val="both"/>
        <w:ind w:left="720" w:hanging="355"/>
        <w:spacing w:after="0" w:line="243" w:lineRule="auto"/>
        <w:tabs>
          <w:tab w:leader="none" w:pos="720" w:val="left"/>
        </w:tabs>
        <w:numPr>
          <w:ilvl w:val="0"/>
          <w:numId w:val="5"/>
        </w:numPr>
        <w:rPr>
          <w:rFonts w:ascii="Arial" w:cs="Arial" w:eastAsia="Arial" w:hAnsi="Arial"/>
          <w:sz w:val="21"/>
          <w:szCs w:val="21"/>
          <w:color w:val="auto"/>
        </w:rPr>
      </w:pPr>
      <w:r>
        <w:rPr>
          <w:rFonts w:ascii="Arial" w:cs="Arial" w:eastAsia="Arial" w:hAnsi="Arial"/>
          <w:sz w:val="21"/>
          <w:szCs w:val="21"/>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or 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spacing w:after="0" w:line="200" w:lineRule="exact"/>
        <w:rPr>
          <w:rFonts w:ascii="Arial" w:cs="Arial" w:eastAsia="Arial" w:hAnsi="Arial"/>
          <w:sz w:val="21"/>
          <w:szCs w:val="21"/>
          <w:color w:val="auto"/>
        </w:rPr>
      </w:pPr>
    </w:p>
    <w:p>
      <w:pPr>
        <w:jc w:val="both"/>
        <w:ind w:left="720" w:hanging="355"/>
        <w:spacing w:after="0" w:line="256" w:lineRule="auto"/>
        <w:tabs>
          <w:tab w:leader="none" w:pos="720" w:val="left"/>
        </w:tabs>
        <w:numPr>
          <w:ilvl w:val="0"/>
          <w:numId w:val="5"/>
        </w:numPr>
        <w:rPr>
          <w:rFonts w:ascii="Arial" w:cs="Arial" w:eastAsia="Arial" w:hAnsi="Arial"/>
          <w:sz w:val="21"/>
          <w:szCs w:val="21"/>
          <w:color w:val="auto"/>
        </w:rPr>
      </w:pPr>
      <w:r>
        <w:rPr>
          <w:rFonts w:ascii="Arial" w:cs="Arial" w:eastAsia="Arial" w:hAnsi="Arial"/>
          <w:sz w:val="21"/>
          <w:szCs w:val="21"/>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87" w:lineRule="exact"/>
        <w:rPr>
          <w:rFonts w:ascii="Arial" w:cs="Arial" w:eastAsia="Arial" w:hAnsi="Arial"/>
          <w:sz w:val="21"/>
          <w:szCs w:val="21"/>
          <w:color w:val="auto"/>
        </w:rPr>
      </w:pPr>
    </w:p>
    <w:p>
      <w:pPr>
        <w:ind w:left="720" w:hanging="355"/>
        <w:spacing w:after="0" w:line="275" w:lineRule="auto"/>
        <w:tabs>
          <w:tab w:leader="none" w:pos="720" w:val="left"/>
        </w:tabs>
        <w:numPr>
          <w:ilvl w:val="0"/>
          <w:numId w:val="5"/>
        </w:numPr>
        <w:rPr>
          <w:rFonts w:ascii="Arial" w:cs="Arial" w:eastAsia="Arial" w:hAnsi="Arial"/>
          <w:sz w:val="21"/>
          <w:szCs w:val="21"/>
          <w:color w:val="auto"/>
        </w:rPr>
      </w:pPr>
      <w:r>
        <w:rPr>
          <w:rFonts w:ascii="Arial" w:cs="Arial" w:eastAsia="Arial" w:hAnsi="Arial"/>
          <w:sz w:val="21"/>
          <w:szCs w:val="21"/>
          <w:color w:val="auto"/>
        </w:rPr>
        <w:t>Obtain, as the undersigned's representative and on the undersigned's behalf, information regarding transactions in the Company's equity securities from any third party, including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1094105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843" w:right="479" w:bottom="1440" w:gutter="0" w:footer="0" w:header="0"/>
        </w:sectPr>
      </w:pPr>
    </w:p>
    <w:bookmarkStart w:id="2" w:name="page3"/>
    <w:bookmarkEnd w:id="2"/>
    <w:p>
      <w:pPr>
        <w:spacing w:after="0" w:line="126" w:lineRule="exact"/>
        <w:rPr>
          <w:sz w:val="20"/>
          <w:szCs w:val="20"/>
          <w:color w:val="auto"/>
        </w:rPr>
      </w:pPr>
    </w:p>
    <w:p>
      <w:pPr>
        <w:ind w:left="720"/>
        <w:spacing w:after="0" w:line="275" w:lineRule="auto"/>
        <w:rPr>
          <w:sz w:val="20"/>
          <w:szCs w:val="20"/>
          <w:color w:val="auto"/>
        </w:rPr>
      </w:pPr>
      <w:r>
        <w:rPr>
          <w:rFonts w:ascii="Arial" w:cs="Arial" w:eastAsia="Arial" w:hAnsi="Arial"/>
          <w:sz w:val="21"/>
          <w:szCs w:val="21"/>
          <w:color w:val="auto"/>
        </w:rPr>
        <w:t>Company and any brokers, dealers, employee benefit plan administrators and trustees, and the undersigned hereby authorizes any such third party to release any such information to the Attorney-in-Fact.</w:t>
      </w:r>
    </w:p>
    <w:p>
      <w:pPr>
        <w:spacing w:after="0" w:line="167" w:lineRule="exact"/>
        <w:rPr>
          <w:sz w:val="20"/>
          <w:szCs w:val="20"/>
          <w:color w:val="auto"/>
        </w:rPr>
      </w:pPr>
    </w:p>
    <w:p>
      <w:pPr>
        <w:ind w:left="720"/>
        <w:spacing w:after="0"/>
        <w:rPr>
          <w:sz w:val="20"/>
          <w:szCs w:val="20"/>
          <w:color w:val="auto"/>
        </w:rPr>
      </w:pPr>
      <w:r>
        <w:rPr>
          <w:rFonts w:ascii="Arial" w:cs="Arial" w:eastAsia="Arial" w:hAnsi="Arial"/>
          <w:sz w:val="21"/>
          <w:szCs w:val="21"/>
          <w:color w:val="auto"/>
        </w:rPr>
        <w:t>The undersigned acknowledges that:</w:t>
      </w:r>
    </w:p>
    <w:p>
      <w:pPr>
        <w:spacing w:after="0" w:line="209" w:lineRule="exact"/>
        <w:rPr>
          <w:sz w:val="20"/>
          <w:szCs w:val="20"/>
          <w:color w:val="auto"/>
        </w:rPr>
      </w:pPr>
    </w:p>
    <w:p>
      <w:pPr>
        <w:ind w:left="1100" w:hanging="371"/>
        <w:spacing w:after="0" w:line="275" w:lineRule="auto"/>
        <w:tabs>
          <w:tab w:leader="none" w:pos="1100" w:val="left"/>
        </w:tabs>
        <w:numPr>
          <w:ilvl w:val="0"/>
          <w:numId w:val="6"/>
        </w:numPr>
        <w:rPr>
          <w:rFonts w:ascii="Arial" w:cs="Arial" w:eastAsia="Arial" w:hAnsi="Arial"/>
          <w:sz w:val="21"/>
          <w:szCs w:val="21"/>
          <w:color w:val="auto"/>
        </w:rPr>
      </w:pPr>
      <w:r>
        <w:rPr>
          <w:rFonts w:ascii="Arial" w:cs="Arial" w:eastAsia="Arial" w:hAnsi="Arial"/>
          <w:sz w:val="21"/>
          <w:szCs w:val="21"/>
          <w:color w:val="auto"/>
        </w:rPr>
        <w:t>This Power of Attorney authorizes, but does not require, the Attorney-in-Fact to act in his or her discretion on information provided to such Attorney-in-Fact without independent verification of such information;</w:t>
      </w:r>
    </w:p>
    <w:p>
      <w:pPr>
        <w:spacing w:after="0" w:line="166" w:lineRule="exact"/>
        <w:rPr>
          <w:rFonts w:ascii="Arial" w:cs="Arial" w:eastAsia="Arial" w:hAnsi="Arial"/>
          <w:sz w:val="21"/>
          <w:szCs w:val="21"/>
          <w:color w:val="auto"/>
        </w:rPr>
      </w:pPr>
    </w:p>
    <w:p>
      <w:pPr>
        <w:ind w:left="1100" w:right="60" w:hanging="371"/>
        <w:spacing w:after="0" w:line="256" w:lineRule="auto"/>
        <w:tabs>
          <w:tab w:leader="none" w:pos="1100" w:val="left"/>
        </w:tabs>
        <w:numPr>
          <w:ilvl w:val="0"/>
          <w:numId w:val="6"/>
        </w:numPr>
        <w:rPr>
          <w:rFonts w:ascii="Arial" w:cs="Arial" w:eastAsia="Arial" w:hAnsi="Arial"/>
          <w:sz w:val="21"/>
          <w:szCs w:val="21"/>
          <w:color w:val="auto"/>
        </w:rPr>
      </w:pPr>
      <w:r>
        <w:rPr>
          <w:rFonts w:ascii="Arial" w:cs="Arial" w:eastAsia="Arial" w:hAnsi="Arial"/>
          <w:sz w:val="21"/>
          <w:szCs w:val="21"/>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87" w:lineRule="exact"/>
        <w:rPr>
          <w:rFonts w:ascii="Arial" w:cs="Arial" w:eastAsia="Arial" w:hAnsi="Arial"/>
          <w:sz w:val="21"/>
          <w:szCs w:val="21"/>
          <w:color w:val="auto"/>
        </w:rPr>
      </w:pPr>
    </w:p>
    <w:p>
      <w:pPr>
        <w:ind w:left="1100" w:right="80" w:hanging="371"/>
        <w:spacing w:after="0" w:line="250" w:lineRule="auto"/>
        <w:tabs>
          <w:tab w:leader="none" w:pos="1100" w:val="left"/>
        </w:tabs>
        <w:numPr>
          <w:ilvl w:val="0"/>
          <w:numId w:val="6"/>
        </w:numPr>
        <w:rPr>
          <w:rFonts w:ascii="Arial" w:cs="Arial" w:eastAsia="Arial" w:hAnsi="Arial"/>
          <w:sz w:val="21"/>
          <w:szCs w:val="21"/>
          <w:color w:val="auto"/>
        </w:rPr>
      </w:pPr>
      <w:r>
        <w:rPr>
          <w:rFonts w:ascii="Arial" w:cs="Arial" w:eastAsia="Arial" w:hAnsi="Arial"/>
          <w:sz w:val="21"/>
          <w:szCs w:val="21"/>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4" w:lineRule="exact"/>
        <w:rPr>
          <w:rFonts w:ascii="Arial" w:cs="Arial" w:eastAsia="Arial" w:hAnsi="Arial"/>
          <w:sz w:val="21"/>
          <w:szCs w:val="21"/>
          <w:color w:val="auto"/>
        </w:rPr>
      </w:pPr>
    </w:p>
    <w:p>
      <w:pPr>
        <w:ind w:left="1100" w:right="660" w:hanging="371"/>
        <w:spacing w:after="0" w:line="256" w:lineRule="auto"/>
        <w:tabs>
          <w:tab w:leader="none" w:pos="1100" w:val="left"/>
        </w:tabs>
        <w:numPr>
          <w:ilvl w:val="0"/>
          <w:numId w:val="6"/>
        </w:numPr>
        <w:rPr>
          <w:rFonts w:ascii="Arial" w:cs="Arial" w:eastAsia="Arial" w:hAnsi="Arial"/>
          <w:sz w:val="21"/>
          <w:szCs w:val="21"/>
          <w:color w:val="auto"/>
        </w:rPr>
      </w:pPr>
      <w:r>
        <w:rPr>
          <w:rFonts w:ascii="Arial" w:cs="Arial" w:eastAsia="Arial" w:hAnsi="Arial"/>
          <w:sz w:val="21"/>
          <w:szCs w:val="21"/>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218" w:lineRule="exact"/>
        <w:rPr>
          <w:sz w:val="20"/>
          <w:szCs w:val="20"/>
          <w:color w:val="auto"/>
        </w:rPr>
      </w:pPr>
    </w:p>
    <w:p>
      <w:pPr>
        <w:jc w:val="both"/>
        <w:ind w:firstLine="729"/>
        <w:spacing w:after="0" w:line="247" w:lineRule="auto"/>
        <w:rPr>
          <w:sz w:val="20"/>
          <w:szCs w:val="20"/>
          <w:color w:val="auto"/>
        </w:rPr>
      </w:pPr>
      <w:r>
        <w:rPr>
          <w:rFonts w:ascii="Arial" w:cs="Arial" w:eastAsia="Arial" w:hAnsi="Arial"/>
          <w:sz w:val="21"/>
          <w:szCs w:val="21"/>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68" w:lineRule="exact"/>
        <w:rPr>
          <w:sz w:val="20"/>
          <w:szCs w:val="20"/>
          <w:color w:val="auto"/>
        </w:rPr>
      </w:pPr>
    </w:p>
    <w:p>
      <w:pPr>
        <w:jc w:val="both"/>
        <w:ind w:firstLine="729"/>
        <w:spacing w:after="0" w:line="247"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68" w:lineRule="exact"/>
        <w:rPr>
          <w:sz w:val="20"/>
          <w:szCs w:val="20"/>
          <w:color w:val="auto"/>
        </w:rPr>
      </w:pPr>
    </w:p>
    <w:p>
      <w:pPr>
        <w:ind w:left="720"/>
        <w:spacing w:after="0"/>
        <w:rPr>
          <w:sz w:val="20"/>
          <w:szCs w:val="20"/>
          <w:color w:val="auto"/>
        </w:rPr>
      </w:pPr>
      <w:r>
        <w:rPr>
          <w:rFonts w:ascii="Arial" w:cs="Arial" w:eastAsia="Arial" w:hAnsi="Arial"/>
          <w:sz w:val="21"/>
          <w:szCs w:val="21"/>
          <w:color w:val="auto"/>
        </w:rPr>
        <w:t>IN WITNESS WHEREOF, the undersigned has executed this Power of Attorney as of April 25, 2026.</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240"/>
        <w:spacing w:after="0"/>
        <w:rPr>
          <w:sz w:val="20"/>
          <w:szCs w:val="20"/>
          <w:color w:val="auto"/>
        </w:rPr>
      </w:pPr>
      <w:r>
        <w:rPr>
          <w:rFonts w:ascii="Arial" w:cs="Arial" w:eastAsia="Arial" w:hAnsi="Arial"/>
          <w:sz w:val="21"/>
          <w:szCs w:val="21"/>
          <w:color w:val="auto"/>
        </w:rPr>
        <w:t>/s/ Mads Nikolaj Behrndt-Eriksen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8890</wp:posOffset>
            </wp:positionV>
            <wp:extent cx="229679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296795" cy="9525"/>
                    </a:xfrm>
                    <a:prstGeom prst="rect">
                      <a:avLst/>
                    </a:prstGeom>
                    <a:noFill/>
                  </pic:spPr>
                </pic:pic>
              </a:graphicData>
            </a:graphic>
          </wp:anchor>
        </w:drawing>
      </w:r>
    </w:p>
    <w:p>
      <w:pPr>
        <w:spacing w:after="0" w:line="14" w:lineRule="exact"/>
        <w:rPr>
          <w:sz w:val="20"/>
          <w:szCs w:val="20"/>
          <w:color w:val="auto"/>
        </w:rPr>
      </w:pPr>
    </w:p>
    <w:p>
      <w:pPr>
        <w:ind w:left="7600"/>
        <w:spacing w:after="0"/>
        <w:rPr>
          <w:sz w:val="20"/>
          <w:szCs w:val="20"/>
          <w:color w:val="auto"/>
        </w:rPr>
      </w:pPr>
      <w:r>
        <w:rPr>
          <w:rFonts w:ascii="Arial" w:cs="Arial" w:eastAsia="Arial" w:hAnsi="Arial"/>
          <w:sz w:val="21"/>
          <w:szCs w:val="21"/>
          <w:color w:val="auto"/>
        </w:rPr>
        <w:t>Signature</w:t>
      </w:r>
    </w:p>
    <w:p>
      <w:pPr>
        <w:spacing w:after="0" w:line="219" w:lineRule="exact"/>
        <w:rPr>
          <w:sz w:val="20"/>
          <w:szCs w:val="20"/>
          <w:color w:val="auto"/>
        </w:rPr>
      </w:pPr>
    </w:p>
    <w:p>
      <w:pPr>
        <w:ind w:left="6240"/>
        <w:spacing w:after="0"/>
        <w:rPr>
          <w:sz w:val="20"/>
          <w:szCs w:val="20"/>
          <w:color w:val="auto"/>
        </w:rPr>
      </w:pPr>
      <w:r>
        <w:rPr>
          <w:rFonts w:ascii="Arial" w:cs="Arial" w:eastAsia="Arial" w:hAnsi="Arial"/>
          <w:sz w:val="21"/>
          <w:szCs w:val="21"/>
          <w:color w:val="auto"/>
        </w:rPr>
        <w:t>Mads Nikolaj Behrndt-Eriksen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8890</wp:posOffset>
            </wp:positionV>
            <wp:extent cx="229679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296795" cy="9525"/>
                    </a:xfrm>
                    <a:prstGeom prst="rect">
                      <a:avLst/>
                    </a:prstGeom>
                    <a:noFill/>
                  </pic:spPr>
                </pic:pic>
              </a:graphicData>
            </a:graphic>
          </wp:anchor>
        </w:drawing>
      </w:r>
    </w:p>
    <w:p>
      <w:pPr>
        <w:spacing w:after="0" w:line="14" w:lineRule="exact"/>
        <w:rPr>
          <w:sz w:val="20"/>
          <w:szCs w:val="20"/>
          <w:color w:val="auto"/>
        </w:rPr>
      </w:pPr>
    </w:p>
    <w:p>
      <w:pPr>
        <w:ind w:left="7520"/>
        <w:spacing w:after="0"/>
        <w:rPr>
          <w:sz w:val="20"/>
          <w:szCs w:val="20"/>
          <w:color w:val="auto"/>
        </w:rPr>
      </w:pPr>
      <w:r>
        <w:rPr>
          <w:rFonts w:ascii="Arial" w:cs="Arial" w:eastAsia="Arial" w:hAnsi="Arial"/>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1126490</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128919" TargetMode="External"/><Relationship Id="rId11" Type="http://schemas.openxmlformats.org/officeDocument/2006/relationships/hyperlink" Target="http://www.sec.gov/cgi-bin/browse-edgar?action=getcompany&amp;CIK=0002114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2026-04-30T17:22:59Z</dcterms:created>
  <dcterms:modified xsi:type="dcterms:W3CDTF">2026-04-30T17:22:59Z</dcterms:modified>
</cp:coreProperties>
</file>