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Vaishnaw Akshay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Hemab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COAG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313" w:lineRule="auto"/>
        <w:rPr>
          <w:sz w:val="20"/>
          <w:szCs w:val="20"/>
          <w:color w:val="auto"/>
        </w:rPr>
      </w:pPr>
      <w:r>
        <w:rPr>
          <w:rFonts w:ascii="Times New Roman" w:cs="Times New Roman" w:eastAsia="Times New Roman" w:hAnsi="Times New Roman"/>
          <w:sz w:val="18"/>
          <w:szCs w:val="18"/>
          <w:color w:val="0000FF"/>
        </w:rPr>
        <w:t>C/O HEMAB THERAPEUTICS HOLDINGS, INC.</w:t>
      </w:r>
    </w:p>
    <w:p>
      <w:pPr>
        <w:ind w:left="140"/>
        <w:spacing w:after="0"/>
        <w:rPr>
          <w:sz w:val="20"/>
          <w:szCs w:val="20"/>
          <w:color w:val="auto"/>
        </w:rPr>
      </w:pPr>
      <w:r>
        <w:rPr>
          <w:rFonts w:ascii="Times New Roman" w:cs="Times New Roman" w:eastAsia="Times New Roman" w:hAnsi="Times New Roman"/>
          <w:sz w:val="18"/>
          <w:szCs w:val="18"/>
          <w:color w:val="0000FF"/>
        </w:rPr>
        <w:t>101 MAIN STREET, SUITE 1220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jc w:val="right"/>
              <w:ind w:right="234"/>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jc w:val="right"/>
              <w:ind w:right="1014"/>
              <w:spacing w:after="0"/>
              <w:rPr>
                <w:sz w:val="20"/>
                <w:szCs w:val="20"/>
                <w:color w:val="auto"/>
              </w:rPr>
            </w:pPr>
            <w:r>
              <w:rPr>
                <w:rFonts w:ascii="Times New Roman" w:cs="Times New Roman" w:eastAsia="Times New Roman" w:hAnsi="Times New Roman"/>
                <w:sz w:val="20"/>
                <w:szCs w:val="20"/>
                <w:color w:val="0000FF"/>
                <w:w w:val="99"/>
              </w:rPr>
              <w:t>Warrants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05/07/2034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27,544</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6.97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jc w:val="right"/>
              <w:ind w:right="1014"/>
              <w:spacing w:after="0"/>
              <w:rPr>
                <w:sz w:val="20"/>
                <w:szCs w:val="20"/>
                <w:color w:val="auto"/>
              </w:rPr>
            </w:pPr>
            <w:r>
              <w:rPr>
                <w:rFonts w:ascii="Times New Roman" w:cs="Times New Roman" w:eastAsia="Times New Roman" w:hAnsi="Times New Roman"/>
                <w:sz w:val="20"/>
                <w:szCs w:val="20"/>
                <w:color w:val="0000FF"/>
                <w:w w:val="99"/>
              </w:rPr>
              <w:t>Warrants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01/28/2036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37,796</w:t>
            </w: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20"/>
                <w:szCs w:val="20"/>
                <w:color w:val="0000FF"/>
              </w:rPr>
              <w:t>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jc w:val="right"/>
              <w:ind w:right="1014"/>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was granted on May 8, 2024. The shares underlying the warrant vest over three years in equal monthly installments from January 1, 2024 through January 1, 2027.</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warrant was granted on January 29, 2026. The shares underlying the warrant vest over three years in equal monthly installments from January 1, 2026 through January 1, 2029.</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24.1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Mads Nikolaj Behrndt-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9730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Eriksen, as Attorney-in-</w:t>
      </w:r>
      <w:r>
        <w:rPr>
          <w:sz w:val="20"/>
          <w:szCs w:val="20"/>
          <w:color w:val="auto"/>
        </w:rPr>
        <w:tab/>
      </w:r>
      <w:r>
        <w:rPr>
          <w:rFonts w:ascii="Times New Roman" w:cs="Times New Roman" w:eastAsia="Times New Roman" w:hAnsi="Times New Roman"/>
          <w:sz w:val="18"/>
          <w:szCs w:val="18"/>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133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1"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The undersigned hereby makes, constitutes and appoints each of Mads Nikolaj Behrndt, Benny Sørensen and Klaus Krainer Jønsson, or any of them acting singly, and with full power of substitution, re-substitution and delegation, the undersigned’s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Hemab Therapeutics Holdings, Inc. (the “Company”), to:</w:t>
      </w:r>
    </w:p>
    <w:p>
      <w:pPr>
        <w:spacing w:after="0" w:line="178" w:lineRule="exact"/>
        <w:rPr>
          <w:sz w:val="20"/>
          <w:szCs w:val="20"/>
          <w:color w:val="auto"/>
        </w:rPr>
      </w:pPr>
    </w:p>
    <w:p>
      <w:pPr>
        <w:jc w:val="both"/>
        <w:ind w:left="720" w:hanging="355"/>
        <w:spacing w:after="0" w:line="244"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202" w:lineRule="exact"/>
        <w:rPr>
          <w:rFonts w:ascii="Arial" w:cs="Arial" w:eastAsia="Arial" w:hAnsi="Arial"/>
          <w:sz w:val="21"/>
          <w:szCs w:val="21"/>
          <w:color w:val="auto"/>
        </w:rPr>
      </w:pPr>
    </w:p>
    <w:p>
      <w:pPr>
        <w:jc w:val="both"/>
        <w:ind w:left="720" w:hanging="355"/>
        <w:spacing w:after="0" w:line="245"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1"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87" w:lineRule="exact"/>
        <w:rPr>
          <w:rFonts w:ascii="Arial" w:cs="Arial" w:eastAsia="Arial" w:hAnsi="Arial"/>
          <w:sz w:val="21"/>
          <w:szCs w:val="21"/>
          <w:color w:val="auto"/>
        </w:rPr>
      </w:pPr>
    </w:p>
    <w:p>
      <w:pPr>
        <w:ind w:left="720" w:hanging="355"/>
        <w:spacing w:after="0" w:line="275"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File, submit or otherwise deliver SEC Filings to any securities exchange on which the Company’s securities may be listed or traded;</w:t>
      </w:r>
    </w:p>
    <w:p>
      <w:pPr>
        <w:spacing w:after="0" w:line="166" w:lineRule="exact"/>
        <w:rPr>
          <w:rFonts w:ascii="Arial" w:cs="Arial" w:eastAsia="Arial" w:hAnsi="Arial"/>
          <w:sz w:val="21"/>
          <w:szCs w:val="21"/>
          <w:color w:val="auto"/>
        </w:rPr>
      </w:pPr>
    </w:p>
    <w:p>
      <w:pPr>
        <w:jc w:val="both"/>
        <w:ind w:left="720" w:hanging="355"/>
        <w:spacing w:after="0" w:line="243"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0" w:lineRule="exact"/>
        <w:rPr>
          <w:rFonts w:ascii="Arial" w:cs="Arial" w:eastAsia="Arial" w:hAnsi="Arial"/>
          <w:sz w:val="21"/>
          <w:szCs w:val="21"/>
          <w:color w:val="auto"/>
        </w:rPr>
      </w:pPr>
    </w:p>
    <w:p>
      <w:pPr>
        <w:jc w:val="both"/>
        <w:ind w:left="720" w:hanging="355"/>
        <w:spacing w:after="0" w:line="256" w:lineRule="auto"/>
        <w:tabs>
          <w:tab w:leader="none" w:pos="720" w:val="left"/>
        </w:tabs>
        <w:numPr>
          <w:ilvl w:val="0"/>
          <w:numId w:val="5"/>
        </w:numPr>
        <w:rPr>
          <w:rFonts w:ascii="Arial" w:cs="Arial" w:eastAsia="Arial" w:hAnsi="Arial"/>
          <w:sz w:val="21"/>
          <w:szCs w:val="21"/>
          <w:color w:val="auto"/>
        </w:rPr>
      </w:pPr>
      <w:r>
        <w:rPr>
          <w:rFonts w:ascii="Arial" w:cs="Arial" w:eastAsia="Arial" w:hAnsi="Arial"/>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1106805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43" w:right="479" w:bottom="1440" w:gutter="0" w:footer="0" w:header="0"/>
        </w:sectPr>
      </w:pPr>
    </w:p>
    <w:bookmarkStart w:id="2" w:name="page3"/>
    <w:bookmarkEnd w:id="2"/>
    <w:p>
      <w:pPr>
        <w:spacing w:after="0" w:line="126" w:lineRule="exact"/>
        <w:rPr>
          <w:sz w:val="20"/>
          <w:szCs w:val="20"/>
          <w:color w:val="auto"/>
        </w:rPr>
      </w:pPr>
    </w:p>
    <w:p>
      <w:pPr>
        <w:jc w:val="both"/>
        <w:ind w:left="720" w:hanging="355"/>
        <w:spacing w:after="0" w:line="250" w:lineRule="auto"/>
        <w:tabs>
          <w:tab w:leader="none" w:pos="720" w:val="left"/>
        </w:tabs>
        <w:numPr>
          <w:ilvl w:val="0"/>
          <w:numId w:val="6"/>
        </w:numPr>
        <w:rPr>
          <w:rFonts w:ascii="Arial" w:cs="Arial" w:eastAsia="Arial" w:hAnsi="Arial"/>
          <w:sz w:val="21"/>
          <w:szCs w:val="21"/>
          <w:color w:val="auto"/>
        </w:rPr>
      </w:pPr>
      <w:r>
        <w:rPr>
          <w:rFonts w:ascii="Arial" w:cs="Arial" w:eastAsia="Arial" w:hAnsi="Arial"/>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The undersigned acknowledges that:</w:t>
      </w:r>
    </w:p>
    <w:p>
      <w:pPr>
        <w:spacing w:after="0" w:line="209" w:lineRule="exact"/>
        <w:rPr>
          <w:sz w:val="20"/>
          <w:szCs w:val="20"/>
          <w:color w:val="auto"/>
        </w:rPr>
      </w:pPr>
    </w:p>
    <w:p>
      <w:pPr>
        <w:jc w:val="both"/>
        <w:ind w:left="1420" w:hanging="326"/>
        <w:spacing w:after="0" w:line="256" w:lineRule="auto"/>
        <w:tabs>
          <w:tab w:leader="none" w:pos="142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Arial" w:cs="Arial" w:eastAsia="Arial" w:hAnsi="Arial"/>
          <w:sz w:val="21"/>
          <w:szCs w:val="21"/>
          <w:color w:val="auto"/>
        </w:rPr>
      </w:pPr>
    </w:p>
    <w:p>
      <w:pPr>
        <w:jc w:val="both"/>
        <w:ind w:left="1420" w:hanging="326"/>
        <w:spacing w:after="0" w:line="256" w:lineRule="auto"/>
        <w:tabs>
          <w:tab w:leader="none" w:pos="1420" w:val="left"/>
        </w:tabs>
        <w:numPr>
          <w:ilvl w:val="0"/>
          <w:numId w:val="7"/>
        </w:numPr>
        <w:rPr>
          <w:rFonts w:ascii="Arial" w:cs="Arial" w:eastAsia="Arial" w:hAnsi="Arial"/>
          <w:sz w:val="21"/>
          <w:szCs w:val="21"/>
          <w:color w:val="auto"/>
        </w:rPr>
      </w:pPr>
      <w:r>
        <w:rPr>
          <w:rFonts w:ascii="Arial" w:cs="Arial" w:eastAsia="Arial" w:hAnsi="Arial"/>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7" w:lineRule="exact"/>
        <w:rPr>
          <w:rFonts w:ascii="Arial" w:cs="Arial" w:eastAsia="Arial" w:hAnsi="Arial"/>
          <w:sz w:val="21"/>
          <w:szCs w:val="21"/>
          <w:color w:val="auto"/>
        </w:rPr>
      </w:pPr>
    </w:p>
    <w:p>
      <w:pPr>
        <w:ind w:left="1420" w:hanging="326"/>
        <w:spacing w:after="0" w:line="250" w:lineRule="auto"/>
        <w:tabs>
          <w:tab w:leader="none" w:pos="1420" w:val="left"/>
        </w:tabs>
        <w:numPr>
          <w:ilvl w:val="0"/>
          <w:numId w:val="7"/>
        </w:numPr>
        <w:rPr>
          <w:rFonts w:ascii="Arial" w:cs="Arial" w:eastAsia="Arial" w:hAnsi="Arial"/>
          <w:sz w:val="21"/>
          <w:szCs w:val="21"/>
          <w:color w:val="auto"/>
        </w:rPr>
      </w:pPr>
      <w:r>
        <w:rPr>
          <w:rFonts w:ascii="Arial" w:cs="Arial" w:eastAsia="Arial" w:hAnsi="Arial"/>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4" w:lineRule="exact"/>
        <w:rPr>
          <w:rFonts w:ascii="Arial" w:cs="Arial" w:eastAsia="Arial" w:hAnsi="Arial"/>
          <w:sz w:val="21"/>
          <w:szCs w:val="21"/>
          <w:color w:val="auto"/>
        </w:rPr>
      </w:pPr>
    </w:p>
    <w:p>
      <w:pPr>
        <w:ind w:left="1420" w:right="340" w:hanging="326"/>
        <w:spacing w:after="0" w:line="256" w:lineRule="auto"/>
        <w:tabs>
          <w:tab w:leader="none" w:pos="142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ind w:firstLine="1094"/>
        <w:spacing w:after="0" w:line="247" w:lineRule="auto"/>
        <w:rPr>
          <w:sz w:val="20"/>
          <w:szCs w:val="20"/>
          <w:color w:val="auto"/>
        </w:rPr>
      </w:pPr>
      <w:r>
        <w:rPr>
          <w:rFonts w:ascii="Arial" w:cs="Arial" w:eastAsia="Arial" w:hAnsi="Arial"/>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1094"/>
        <w:spacing w:after="0" w:line="247"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IN WITNESS WHEREOF, the undersigned has executed this Power of Attorney as of April 24, 2026.</w:t>
      </w:r>
    </w:p>
    <w:p>
      <w:pPr>
        <w:spacing w:after="0" w:line="200" w:lineRule="exact"/>
        <w:rPr>
          <w:sz w:val="20"/>
          <w:szCs w:val="20"/>
          <w:color w:val="auto"/>
        </w:rPr>
      </w:pPr>
    </w:p>
    <w:p>
      <w:pPr>
        <w:spacing w:after="0" w:line="249"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/s/ Akshay Krishnadas Vaishnaw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8890</wp:posOffset>
            </wp:positionV>
            <wp:extent cx="24301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4"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Signature</w:t>
      </w:r>
    </w:p>
    <w:p>
      <w:pPr>
        <w:spacing w:after="0" w:line="219"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Akshay Krishnadas Vaishnaw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8890</wp:posOffset>
            </wp:positionV>
            <wp:extent cx="24301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1126490</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458494" TargetMode="External"/><Relationship Id="rId11" Type="http://schemas.openxmlformats.org/officeDocument/2006/relationships/hyperlink" Target="http://www.sec.gov/cgi-bin/browse-edgar?action=getcompany&amp;CIK=0002114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2026-04-30T17:19:40Z</dcterms:created>
  <dcterms:modified xsi:type="dcterms:W3CDTF">2026-04-30T17:19:40Z</dcterms:modified>
</cp:coreProperties>
</file>