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7048500" cy="8807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8807450"/>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320" w:space="340"/>
            <w:col w:w="842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4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100" w:type="dxa"/>
            <w:vAlign w:val="bottom"/>
          </w:tcPr>
          <w:p>
            <w:pPr>
              <w:spacing w:after="0"/>
              <w:rPr>
                <w:sz w:val="15"/>
                <w:szCs w:val="15"/>
                <w:color w:val="auto"/>
              </w:rPr>
            </w:pPr>
          </w:p>
        </w:tc>
        <w:tc>
          <w:tcPr>
            <w:tcW w:w="3820" w:type="dxa"/>
            <w:vAlign w:val="bottom"/>
            <w:gridSpan w:val="3"/>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Hemab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COAG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12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line="146"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3820" w:type="dxa"/>
            <w:vAlign w:val="bottom"/>
            <w:gridSpan w:val="3"/>
            <w:vMerge w:val="continue"/>
          </w:tcPr>
          <w:p>
            <w:pPr>
              <w:spacing w:after="0"/>
              <w:rPr>
                <w:sz w:val="10"/>
                <w:szCs w:val="10"/>
                <w:color w:val="auto"/>
              </w:rPr>
            </w:pPr>
          </w:p>
        </w:tc>
        <w:tc>
          <w:tcPr>
            <w:tcW w:w="1820" w:type="dxa"/>
            <w:vAlign w:val="bottom"/>
          </w:tcPr>
          <w:p>
            <w:pPr>
              <w:ind w:left="580"/>
              <w:spacing w:after="0" w:line="125" w:lineRule="exact"/>
              <w:rPr>
                <w:sz w:val="20"/>
                <w:szCs w:val="20"/>
                <w:color w:val="auto"/>
              </w:rPr>
            </w:pPr>
            <w:r>
              <w:rPr>
                <w:rFonts w:ascii="Arial" w:cs="Arial" w:eastAsia="Arial" w:hAnsi="Arial"/>
                <w:sz w:val="13"/>
                <w:szCs w:val="13"/>
                <w:color w:val="auto"/>
              </w:rPr>
              <w:t>below)</w:t>
            </w:r>
          </w:p>
        </w:tc>
        <w:tc>
          <w:tcPr>
            <w:tcW w:w="1120" w:type="dxa"/>
            <w:vAlign w:val="bottom"/>
          </w:tcPr>
          <w:p>
            <w:pPr>
              <w:ind w:left="34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05/04/2026</w:t>
            </w:r>
          </w:p>
        </w:tc>
        <w:tc>
          <w:tcPr>
            <w:tcW w:w="9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30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ectPr>
          <w:pgSz w:w="11900" w:h="16838" w:orient="portrait"/>
          <w:cols w:equalWidth="0" w:num="1">
            <w:col w:w="11080"/>
          </w:cols>
          <w:pgMar w:left="460" w:top="215" w:right="359" w:bottom="0" w:gutter="0" w:footer="0" w:header="0"/>
          <w:type w:val="continuous"/>
        </w:sectPr>
      </w:pP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02116</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0"/>
          <w:szCs w:val="20"/>
          <w:color w:val="auto"/>
        </w:rPr>
      </w:pPr>
    </w:p>
    <w:p>
      <w:pPr>
        <w:ind w:left="4360"/>
        <w:spacing w:after="0"/>
        <w:rPr>
          <w:sz w:val="20"/>
          <w:szCs w:val="20"/>
          <w:color w:val="auto"/>
        </w:rPr>
      </w:pPr>
      <w:r>
        <w:rPr>
          <w:rFonts w:ascii="Arial" w:cs="Arial" w:eastAsia="Arial" w:hAnsi="Arial"/>
          <w:sz w:val="11"/>
          <w:szCs w:val="11"/>
          <w:color w:val="auto"/>
        </w:rPr>
        <w:t>Form filed by More than One Reporting Person</w:t>
      </w:r>
    </w:p>
    <w:p>
      <w:pPr>
        <w:spacing w:after="0" w:line="474" w:lineRule="exact"/>
        <w:rPr>
          <w:sz w:val="20"/>
          <w:szCs w:val="20"/>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00"/>
              <w:spacing w:after="0" w:line="125"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jc w:val="center"/>
              <w:ind w:right="49"/>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jc w:val="center"/>
              <w:ind w:left="428"/>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11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11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00" w:type="dxa"/>
            <w:vAlign w:val="bottom"/>
            <w:gridSpan w:val="5"/>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780" w:type="dxa"/>
            <w:vAlign w:val="bottom"/>
            <w:vMerge w:val="restart"/>
          </w:tcPr>
          <w:p>
            <w:pPr>
              <w:jc w:val="right"/>
              <w:ind w:right="289"/>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640" w:type="dxa"/>
            <w:vAlign w:val="bottom"/>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05/04/2026</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gridSpan w:val="2"/>
            <w:vMerge w:val="restart"/>
          </w:tcPr>
          <w:p>
            <w:pPr>
              <w:jc w:val="center"/>
              <w:ind w:left="33"/>
              <w:spacing w:after="0"/>
              <w:rPr>
                <w:sz w:val="20"/>
                <w:szCs w:val="20"/>
                <w:color w:val="auto"/>
              </w:rPr>
            </w:pPr>
            <w:r>
              <w:rPr>
                <w:rFonts w:ascii="Times New Roman" w:cs="Times New Roman" w:eastAsia="Times New Roman" w:hAnsi="Times New Roman"/>
                <w:sz w:val="16"/>
                <w:szCs w:val="16"/>
                <w:color w:val="0000FF"/>
              </w:rPr>
              <w:t>3,607,846</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vMerge w:val="restart"/>
          </w:tcPr>
          <w:p>
            <w:pPr>
              <w:jc w:val="center"/>
              <w:ind w:left="9"/>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3,607,846</w:t>
            </w:r>
          </w:p>
        </w:tc>
        <w:tc>
          <w:tcPr>
            <w:tcW w:w="360" w:type="dxa"/>
            <w:vAlign w:val="bottom"/>
          </w:tcPr>
          <w:p>
            <w:pPr>
              <w:spacing w:after="0"/>
              <w:rPr>
                <w:sz w:val="20"/>
                <w:szCs w:val="20"/>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05/04/2026</w:t>
            </w:r>
          </w:p>
        </w:tc>
        <w:tc>
          <w:tcPr>
            <w:tcW w:w="1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tcBorders>
              <w:top w:val="single" w:sz="8" w:color="2C2C2C"/>
            </w:tcBorders>
            <w:gridSpan w:val="2"/>
            <w:vMerge w:val="restart"/>
          </w:tcPr>
          <w:p>
            <w:pPr>
              <w:jc w:val="center"/>
              <w:ind w:left="33"/>
              <w:spacing w:after="0"/>
              <w:rPr>
                <w:sz w:val="20"/>
                <w:szCs w:val="20"/>
                <w:color w:val="auto"/>
              </w:rPr>
            </w:pPr>
            <w:r>
              <w:rPr>
                <w:rFonts w:ascii="Times New Roman" w:cs="Times New Roman" w:eastAsia="Times New Roman" w:hAnsi="Times New Roman"/>
                <w:sz w:val="16"/>
                <w:szCs w:val="16"/>
                <w:color w:val="0000FF"/>
              </w:rPr>
              <w:t>1,009,052</w:t>
            </w:r>
          </w:p>
        </w:tc>
        <w:tc>
          <w:tcPr>
            <w:tcW w:w="48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top w:val="single" w:sz="8" w:color="2C2C2C"/>
            </w:tcBorders>
            <w:vMerge w:val="restart"/>
          </w:tcPr>
          <w:p>
            <w:pPr>
              <w:jc w:val="center"/>
              <w:ind w:left="9"/>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1,009,052</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05/04/2026</w:t>
            </w:r>
          </w:p>
        </w:tc>
        <w:tc>
          <w:tcPr>
            <w:tcW w:w="1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Borders>
              <w:top w:val="single" w:sz="8" w:color="2C2C2C"/>
            </w:tcBorders>
            <w:vMerge w:val="restart"/>
          </w:tcPr>
          <w:p>
            <w:pPr>
              <w:jc w:val="center"/>
              <w:ind w:left="113"/>
              <w:spacing w:after="0"/>
              <w:rPr>
                <w:sz w:val="20"/>
                <w:szCs w:val="20"/>
                <w:color w:val="auto"/>
              </w:rPr>
            </w:pPr>
            <w:r>
              <w:rPr>
                <w:rFonts w:ascii="Times New Roman" w:cs="Times New Roman" w:eastAsia="Times New Roman" w:hAnsi="Times New Roman"/>
                <w:sz w:val="16"/>
                <w:szCs w:val="16"/>
                <w:color w:val="0000FF"/>
              </w:rPr>
              <w:t>221,188</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top w:val="single" w:sz="8" w:color="2C2C2C"/>
            </w:tcBorders>
            <w:vMerge w:val="restart"/>
          </w:tcPr>
          <w:p>
            <w:pPr>
              <w:jc w:val="center"/>
              <w:ind w:left="9"/>
              <w:spacing w:after="0"/>
              <w:rPr>
                <w:sz w:val="20"/>
                <w:szCs w:val="20"/>
                <w:color w:val="auto"/>
              </w:rPr>
            </w:pPr>
            <w:r>
              <w:rPr>
                <w:rFonts w:ascii="Times New Roman" w:cs="Times New Roman" w:eastAsia="Times New Roman" w:hAnsi="Times New Roman"/>
                <w:sz w:val="10"/>
                <w:szCs w:val="10"/>
                <w:color w:val="008000"/>
              </w:rPr>
              <w:t>(1)</w:t>
            </w: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221,188</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05/04/2026</w:t>
            </w:r>
          </w:p>
        </w:tc>
        <w:tc>
          <w:tcPr>
            <w:tcW w:w="1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top w:val="single" w:sz="8" w:color="2C2C2C"/>
            </w:tcBorders>
            <w:gridSpan w:val="2"/>
            <w:vMerge w:val="restart"/>
          </w:tcPr>
          <w:p>
            <w:pPr>
              <w:jc w:val="center"/>
              <w:ind w:left="33"/>
              <w:spacing w:after="0"/>
              <w:rPr>
                <w:sz w:val="20"/>
                <w:szCs w:val="20"/>
                <w:color w:val="auto"/>
              </w:rPr>
            </w:pPr>
            <w:r>
              <w:rPr>
                <w:rFonts w:ascii="Times New Roman" w:cs="Times New Roman" w:eastAsia="Times New Roman" w:hAnsi="Times New Roman"/>
                <w:sz w:val="16"/>
                <w:szCs w:val="16"/>
                <w:color w:val="0000FF"/>
              </w:rPr>
              <w:t>2,541,250</w:t>
            </w:r>
          </w:p>
        </w:tc>
        <w:tc>
          <w:tcPr>
            <w:tcW w:w="48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top w:val="single" w:sz="8" w:color="2C2C2C"/>
            </w:tcBorders>
            <w:vMerge w:val="restart"/>
          </w:tcPr>
          <w:p>
            <w:pPr>
              <w:jc w:val="center"/>
              <w:ind w:left="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6,149,096</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05/04/2026</w:t>
            </w:r>
          </w:p>
        </w:tc>
        <w:tc>
          <w:tcPr>
            <w:tcW w:w="1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top w:val="single" w:sz="8" w:color="2C2C2C"/>
            </w:tcBorders>
            <w:vMerge w:val="restart"/>
          </w:tcPr>
          <w:p>
            <w:pPr>
              <w:jc w:val="center"/>
              <w:ind w:left="113"/>
              <w:spacing w:after="0"/>
              <w:rPr>
                <w:sz w:val="20"/>
                <w:szCs w:val="20"/>
                <w:color w:val="auto"/>
              </w:rPr>
            </w:pPr>
            <w:r>
              <w:rPr>
                <w:rFonts w:ascii="Times New Roman" w:cs="Times New Roman" w:eastAsia="Times New Roman" w:hAnsi="Times New Roman"/>
                <w:sz w:val="16"/>
                <w:szCs w:val="16"/>
                <w:color w:val="0000FF"/>
              </w:rPr>
              <w:t>133,750</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top w:val="single" w:sz="8" w:color="2C2C2C"/>
            </w:tcBorders>
            <w:vMerge w:val="restart"/>
          </w:tcPr>
          <w:p>
            <w:pPr>
              <w:jc w:val="center"/>
              <w:ind w:left="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354,938</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05/05/2026</w:t>
            </w:r>
          </w:p>
        </w:tc>
        <w:tc>
          <w:tcPr>
            <w:tcW w:w="1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top w:val="single" w:sz="8" w:color="2C2C2C"/>
            </w:tcBorders>
            <w:vMerge w:val="restart"/>
          </w:tcPr>
          <w:p>
            <w:pPr>
              <w:jc w:val="center"/>
              <w:ind w:left="113"/>
              <w:spacing w:after="0"/>
              <w:rPr>
                <w:sz w:val="20"/>
                <w:szCs w:val="20"/>
                <w:color w:val="auto"/>
              </w:rPr>
            </w:pPr>
            <w:r>
              <w:rPr>
                <w:rFonts w:ascii="Times New Roman" w:cs="Times New Roman" w:eastAsia="Times New Roman" w:hAnsi="Times New Roman"/>
                <w:sz w:val="16"/>
                <w:szCs w:val="16"/>
                <w:color w:val="0000FF"/>
              </w:rPr>
              <w:t>87,143</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top w:val="single" w:sz="8" w:color="2C2C2C"/>
            </w:tcBorders>
            <w:vMerge w:val="restart"/>
          </w:tcPr>
          <w:p>
            <w:pPr>
              <w:jc w:val="center"/>
              <w:ind w:left="9"/>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24.59</w:t>
            </w:r>
            <w:r>
              <w:rPr>
                <w:rFonts w:ascii="Times New Roman" w:cs="Times New Roman" w:eastAsia="Times New Roman" w:hAnsi="Times New Roman"/>
                <w:sz w:val="20"/>
                <w:szCs w:val="20"/>
                <w:color w:val="008000"/>
                <w:w w:val="95"/>
                <w:vertAlign w:val="superscript"/>
              </w:rPr>
              <w:t>(6)</w:t>
            </w: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6,236,239</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05/05/2026</w:t>
            </w:r>
          </w:p>
        </w:tc>
        <w:tc>
          <w:tcPr>
            <w:tcW w:w="1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top w:val="single" w:sz="8" w:color="2C2C2C"/>
            </w:tcBorders>
            <w:vMerge w:val="restart"/>
          </w:tcPr>
          <w:p>
            <w:pPr>
              <w:jc w:val="center"/>
              <w:ind w:left="113"/>
              <w:spacing w:after="0"/>
              <w:rPr>
                <w:sz w:val="20"/>
                <w:szCs w:val="20"/>
                <w:color w:val="auto"/>
              </w:rPr>
            </w:pPr>
            <w:r>
              <w:rPr>
                <w:rFonts w:ascii="Times New Roman" w:cs="Times New Roman" w:eastAsia="Times New Roman" w:hAnsi="Times New Roman"/>
                <w:sz w:val="16"/>
                <w:szCs w:val="16"/>
                <w:color w:val="0000FF"/>
              </w:rPr>
              <w:t>10,268</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top w:val="single" w:sz="8" w:color="2C2C2C"/>
            </w:tcBorders>
            <w:vMerge w:val="restart"/>
          </w:tcPr>
          <w:p>
            <w:pPr>
              <w:jc w:val="center"/>
              <w:ind w:left="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w:t>
            </w: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6,246,507</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05/06/2026</w:t>
            </w:r>
          </w:p>
        </w:tc>
        <w:tc>
          <w:tcPr>
            <w:tcW w:w="1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top w:val="single" w:sz="8" w:color="2C2C2C"/>
            </w:tcBorders>
            <w:vMerge w:val="restart"/>
          </w:tcPr>
          <w:p>
            <w:pPr>
              <w:jc w:val="center"/>
              <w:ind w:left="113"/>
              <w:spacing w:after="0"/>
              <w:rPr>
                <w:sz w:val="20"/>
                <w:szCs w:val="20"/>
                <w:color w:val="auto"/>
              </w:rPr>
            </w:pPr>
            <w:r>
              <w:rPr>
                <w:rFonts w:ascii="Times New Roman" w:cs="Times New Roman" w:eastAsia="Times New Roman" w:hAnsi="Times New Roman"/>
                <w:sz w:val="16"/>
                <w:szCs w:val="16"/>
                <w:color w:val="0000FF"/>
              </w:rPr>
              <w:t>14,611</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top w:val="single" w:sz="8" w:color="2C2C2C"/>
            </w:tcBorders>
            <w:vMerge w:val="restart"/>
          </w:tcPr>
          <w:p>
            <w:pPr>
              <w:jc w:val="center"/>
              <w:ind w:left="9"/>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23.77</w:t>
            </w:r>
            <w:r>
              <w:rPr>
                <w:rFonts w:ascii="Times New Roman" w:cs="Times New Roman" w:eastAsia="Times New Roman" w:hAnsi="Times New Roman"/>
                <w:sz w:val="20"/>
                <w:szCs w:val="20"/>
                <w:color w:val="008000"/>
                <w:w w:val="95"/>
                <w:vertAlign w:val="superscript"/>
              </w:rPr>
              <w:t>(7)</w:t>
            </w: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6,261,118</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05/06/2026</w:t>
            </w:r>
          </w:p>
        </w:tc>
        <w:tc>
          <w:tcPr>
            <w:tcW w:w="1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top w:val="single" w:sz="8" w:color="2C2C2C"/>
            </w:tcBorders>
            <w:vMerge w:val="restart"/>
          </w:tcPr>
          <w:p>
            <w:pPr>
              <w:jc w:val="center"/>
              <w:ind w:left="113"/>
              <w:spacing w:after="0"/>
              <w:rPr>
                <w:sz w:val="20"/>
                <w:szCs w:val="20"/>
                <w:color w:val="auto"/>
              </w:rPr>
            </w:pPr>
            <w:r>
              <w:rPr>
                <w:rFonts w:ascii="Times New Roman" w:cs="Times New Roman" w:eastAsia="Times New Roman" w:hAnsi="Times New Roman"/>
                <w:sz w:val="16"/>
                <w:szCs w:val="16"/>
                <w:color w:val="0000FF"/>
              </w:rPr>
              <w:t>53,407</w:t>
            </w:r>
          </w:p>
        </w:tc>
        <w:tc>
          <w:tcPr>
            <w:tcW w:w="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top w:val="single" w:sz="8" w:color="2C2C2C"/>
            </w:tcBorders>
            <w:vMerge w:val="restart"/>
          </w:tcPr>
          <w:p>
            <w:pPr>
              <w:jc w:val="center"/>
              <w:ind w:left="9"/>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24.83</w:t>
            </w:r>
            <w:r>
              <w:rPr>
                <w:rFonts w:ascii="Times New Roman" w:cs="Times New Roman" w:eastAsia="Times New Roman" w:hAnsi="Times New Roman"/>
                <w:sz w:val="20"/>
                <w:szCs w:val="20"/>
                <w:color w:val="008000"/>
                <w:w w:val="95"/>
                <w:vertAlign w:val="superscript"/>
              </w:rPr>
              <w:t>(8)</w:t>
            </w: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6,314,525</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40" w:type="dxa"/>
            <w:vAlign w:val="bottom"/>
            <w:gridSpan w:val="9"/>
          </w:tcPr>
          <w:p>
            <w:pPr>
              <w:jc w:val="right"/>
              <w:ind w:right="8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8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Disposed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89"/>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13"/>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jc w:val="right"/>
              <w:ind w:right="89"/>
              <w:spacing w:after="0" w:line="125"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jc w:val="right"/>
              <w:ind w:right="269"/>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1,422,960</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05/04/2026</w:t>
            </w:r>
          </w:p>
        </w:tc>
        <w:tc>
          <w:tcPr>
            <w:tcW w:w="1040" w:type="dxa"/>
            <w:vAlign w:val="bottom"/>
          </w:tcPr>
          <w:p>
            <w:pPr>
              <w:spacing w:after="0"/>
              <w:rPr>
                <w:sz w:val="4"/>
                <w:szCs w:val="4"/>
                <w:color w:val="auto"/>
              </w:rPr>
            </w:pPr>
          </w:p>
        </w:tc>
        <w:tc>
          <w:tcPr>
            <w:tcW w:w="6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80" w:type="dxa"/>
            <w:vAlign w:val="bottom"/>
          </w:tcPr>
          <w:p>
            <w:pPr>
              <w:spacing w:after="0"/>
              <w:rPr>
                <w:sz w:val="4"/>
                <w:szCs w:val="4"/>
                <w:color w:val="auto"/>
              </w:rPr>
            </w:pPr>
          </w:p>
        </w:tc>
        <w:tc>
          <w:tcPr>
            <w:tcW w:w="84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64,680</w:t>
            </w: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jc w:val="center"/>
              <w:ind w:right="59"/>
              <w:spacing w:after="0" w:line="51" w:lineRule="exact"/>
              <w:rPr>
                <w:sz w:val="20"/>
                <w:szCs w:val="20"/>
                <w:color w:val="auto"/>
              </w:rPr>
            </w:pPr>
            <w:r>
              <w:rPr>
                <w:rFonts w:ascii="Times New Roman" w:cs="Times New Roman" w:eastAsia="Times New Roman" w:hAnsi="Times New Roman"/>
                <w:sz w:val="5"/>
                <w:szCs w:val="5"/>
                <w:color w:val="0000FF"/>
              </w:rPr>
              <w:t>Stock</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gridSpan w:val="4"/>
          </w:tcPr>
          <w:p>
            <w:pPr>
              <w:ind w:left="20"/>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609,840</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05/04/2026</w:t>
            </w:r>
          </w:p>
        </w:tc>
        <w:tc>
          <w:tcPr>
            <w:tcW w:w="1040" w:type="dxa"/>
            <w:vAlign w:val="bottom"/>
          </w:tcPr>
          <w:p>
            <w:pPr>
              <w:spacing w:after="0"/>
              <w:rPr>
                <w:sz w:val="4"/>
                <w:szCs w:val="4"/>
                <w:color w:val="auto"/>
              </w:rPr>
            </w:pPr>
          </w:p>
        </w:tc>
        <w:tc>
          <w:tcPr>
            <w:tcW w:w="6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80" w:type="dxa"/>
            <w:vAlign w:val="bottom"/>
          </w:tcPr>
          <w:p>
            <w:pPr>
              <w:spacing w:after="0"/>
              <w:rPr>
                <w:sz w:val="4"/>
                <w:szCs w:val="4"/>
                <w:color w:val="auto"/>
              </w:rPr>
            </w:pPr>
          </w:p>
        </w:tc>
        <w:tc>
          <w:tcPr>
            <w:tcW w:w="84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27,720</w:t>
            </w: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jc w:val="center"/>
              <w:ind w:right="59"/>
              <w:spacing w:after="0" w:line="51" w:lineRule="exact"/>
              <w:rPr>
                <w:sz w:val="20"/>
                <w:szCs w:val="20"/>
                <w:color w:val="auto"/>
              </w:rPr>
            </w:pPr>
            <w:r>
              <w:rPr>
                <w:rFonts w:ascii="Times New Roman" w:cs="Times New Roman" w:eastAsia="Times New Roman" w:hAnsi="Times New Roman"/>
                <w:sz w:val="5"/>
                <w:szCs w:val="5"/>
                <w:color w:val="0000FF"/>
              </w:rPr>
              <w:t>Stock</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gridSpan w:val="4"/>
          </w:tcPr>
          <w:p>
            <w:pPr>
              <w:ind w:left="20"/>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931,502</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05/04/2026</w:t>
            </w:r>
          </w:p>
        </w:tc>
        <w:tc>
          <w:tcPr>
            <w:tcW w:w="1040" w:type="dxa"/>
            <w:vAlign w:val="bottom"/>
          </w:tcPr>
          <w:p>
            <w:pPr>
              <w:spacing w:after="0"/>
              <w:rPr>
                <w:sz w:val="4"/>
                <w:szCs w:val="4"/>
                <w:color w:val="auto"/>
              </w:rPr>
            </w:pPr>
          </w:p>
        </w:tc>
        <w:tc>
          <w:tcPr>
            <w:tcW w:w="6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80" w:type="dxa"/>
            <w:vAlign w:val="bottom"/>
          </w:tcPr>
          <w:p>
            <w:pPr>
              <w:spacing w:after="0"/>
              <w:rPr>
                <w:sz w:val="4"/>
                <w:szCs w:val="4"/>
                <w:color w:val="auto"/>
              </w:rPr>
            </w:pPr>
          </w:p>
        </w:tc>
        <w:tc>
          <w:tcPr>
            <w:tcW w:w="84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42,341</w:t>
            </w: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jc w:val="center"/>
              <w:ind w:right="59"/>
              <w:spacing w:after="0" w:line="51" w:lineRule="exact"/>
              <w:rPr>
                <w:sz w:val="20"/>
                <w:szCs w:val="20"/>
                <w:color w:val="auto"/>
              </w:rPr>
            </w:pPr>
            <w:r>
              <w:rPr>
                <w:rFonts w:ascii="Times New Roman" w:cs="Times New Roman" w:eastAsia="Times New Roman" w:hAnsi="Times New Roman"/>
                <w:sz w:val="5"/>
                <w:szCs w:val="5"/>
                <w:color w:val="0000FF"/>
              </w:rPr>
              <w:t>Stock</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gridSpan w:val="4"/>
          </w:tcPr>
          <w:p>
            <w:pPr>
              <w:ind w:left="20"/>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399,212</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05/04/2026</w:t>
            </w:r>
          </w:p>
        </w:tc>
        <w:tc>
          <w:tcPr>
            <w:tcW w:w="1040" w:type="dxa"/>
            <w:vAlign w:val="bottom"/>
          </w:tcPr>
          <w:p>
            <w:pPr>
              <w:spacing w:after="0"/>
              <w:rPr>
                <w:sz w:val="4"/>
                <w:szCs w:val="4"/>
                <w:color w:val="auto"/>
              </w:rPr>
            </w:pPr>
          </w:p>
        </w:tc>
        <w:tc>
          <w:tcPr>
            <w:tcW w:w="6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80" w:type="dxa"/>
            <w:vAlign w:val="bottom"/>
          </w:tcPr>
          <w:p>
            <w:pPr>
              <w:spacing w:after="0"/>
              <w:rPr>
                <w:sz w:val="4"/>
                <w:szCs w:val="4"/>
                <w:color w:val="auto"/>
              </w:rPr>
            </w:pPr>
          </w:p>
        </w:tc>
        <w:tc>
          <w:tcPr>
            <w:tcW w:w="84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18,146</w:t>
            </w: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jc w:val="center"/>
              <w:ind w:right="59"/>
              <w:spacing w:after="0" w:line="51" w:lineRule="exact"/>
              <w:rPr>
                <w:sz w:val="20"/>
                <w:szCs w:val="20"/>
                <w:color w:val="auto"/>
              </w:rPr>
            </w:pPr>
            <w:r>
              <w:rPr>
                <w:rFonts w:ascii="Times New Roman" w:cs="Times New Roman" w:eastAsia="Times New Roman" w:hAnsi="Times New Roman"/>
                <w:sz w:val="5"/>
                <w:szCs w:val="5"/>
                <w:color w:val="0000FF"/>
              </w:rPr>
              <w:t>Stock</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gridSpan w:val="4"/>
          </w:tcPr>
          <w:p>
            <w:pPr>
              <w:ind w:left="20"/>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1,253,384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05/04/2026</w:t>
            </w:r>
          </w:p>
        </w:tc>
        <w:tc>
          <w:tcPr>
            <w:tcW w:w="1040" w:type="dxa"/>
            <w:vAlign w:val="bottom"/>
          </w:tcPr>
          <w:p>
            <w:pPr>
              <w:spacing w:after="0"/>
              <w:rPr>
                <w:sz w:val="4"/>
                <w:szCs w:val="4"/>
                <w:color w:val="auto"/>
              </w:rPr>
            </w:pPr>
          </w:p>
        </w:tc>
        <w:tc>
          <w:tcPr>
            <w:tcW w:w="6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80" w:type="dxa"/>
            <w:vAlign w:val="bottom"/>
          </w:tcPr>
          <w:p>
            <w:pPr>
              <w:spacing w:after="0"/>
              <w:rPr>
                <w:sz w:val="4"/>
                <w:szCs w:val="4"/>
                <w:color w:val="auto"/>
              </w:rPr>
            </w:pPr>
          </w:p>
        </w:tc>
        <w:tc>
          <w:tcPr>
            <w:tcW w:w="84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56,972</w:t>
            </w: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jc w:val="center"/>
              <w:ind w:right="59"/>
              <w:spacing w:after="0" w:line="51" w:lineRule="exact"/>
              <w:rPr>
                <w:sz w:val="20"/>
                <w:szCs w:val="20"/>
                <w:color w:val="auto"/>
              </w:rPr>
            </w:pPr>
            <w:r>
              <w:rPr>
                <w:rFonts w:ascii="Times New Roman" w:cs="Times New Roman" w:eastAsia="Times New Roman" w:hAnsi="Times New Roman"/>
                <w:sz w:val="5"/>
                <w:szCs w:val="5"/>
                <w:color w:val="0000FF"/>
              </w:rPr>
              <w:t>Stock</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gridSpan w:val="4"/>
          </w:tcPr>
          <w:p>
            <w:pPr>
              <w:ind w:left="20"/>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Stock</w:t>
      </w:r>
    </w:p>
    <w:p>
      <w:pPr>
        <w:sectPr>
          <w:pgSz w:w="11900" w:h="16838" w:orient="portrait"/>
          <w:cols w:equalWidth="0" w:num="1">
            <w:col w:w="11080"/>
          </w:cols>
          <w:pgMar w:left="460" w:top="215"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10521315"/>
                    </a:xfrm>
                    <a:prstGeom prst="rect">
                      <a:avLst/>
                    </a:prstGeom>
                    <a:noFill/>
                  </pic:spPr>
                </pic:pic>
              </a:graphicData>
            </a:graphic>
          </wp:anchor>
        </w:drawing>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0"/>
                <w:szCs w:val="10"/>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4"/>
        </w:trPr>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9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620" w:type="dxa"/>
            <w:vAlign w:val="bottom"/>
            <w:vMerge w:val="restart"/>
          </w:tcPr>
          <w:p>
            <w:pPr>
              <w:jc w:val="right"/>
              <w:ind w:right="328"/>
              <w:spacing w:after="0"/>
              <w:rPr>
                <w:sz w:val="20"/>
                <w:szCs w:val="20"/>
                <w:color w:val="auto"/>
              </w:rPr>
            </w:pPr>
            <w:r>
              <w:rPr>
                <w:rFonts w:ascii="Times New Roman" w:cs="Times New Roman" w:eastAsia="Times New Roman" w:hAnsi="Times New Roman"/>
                <w:sz w:val="10"/>
                <w:szCs w:val="10"/>
                <w:color w:val="008000"/>
              </w:rPr>
              <w:t>(1)</w:t>
            </w: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ind w:left="36"/>
              <w:spacing w:after="0"/>
              <w:rPr>
                <w:sz w:val="20"/>
                <w:szCs w:val="20"/>
                <w:color w:val="auto"/>
              </w:rPr>
            </w:pPr>
            <w:r>
              <w:rPr>
                <w:rFonts w:ascii="Times New Roman" w:cs="Times New Roman" w:eastAsia="Times New Roman" w:hAnsi="Times New Roman"/>
                <w:sz w:val="13"/>
                <w:szCs w:val="13"/>
                <w:color w:val="0000FF"/>
                <w:w w:val="94"/>
              </w:rPr>
              <w:t>Common</w:t>
            </w: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0000FF"/>
              </w:rPr>
              <w:t>221,188</w:t>
            </w:r>
          </w:p>
        </w:tc>
        <w:tc>
          <w:tcPr>
            <w:tcW w:w="660" w:type="dxa"/>
            <w:vAlign w:val="bottom"/>
            <w:vMerge w:val="restart"/>
          </w:tcPr>
          <w:p>
            <w:pPr>
              <w:jc w:val="right"/>
              <w:ind w:right="288"/>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14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05/04/2026</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gridSpan w:val="2"/>
            <w:vMerge w:val="restart"/>
          </w:tcPr>
          <w:p>
            <w:pPr>
              <w:ind w:left="5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840" w:type="dxa"/>
            <w:vAlign w:val="bottom"/>
            <w:vMerge w:val="restart"/>
          </w:tcPr>
          <w:p>
            <w:pPr>
              <w:jc w:val="right"/>
              <w:ind w:right="123"/>
              <w:spacing w:after="0" w:line="101" w:lineRule="exact"/>
              <w:rPr>
                <w:sz w:val="20"/>
                <w:szCs w:val="20"/>
                <w:color w:val="auto"/>
              </w:rPr>
            </w:pPr>
            <w:r>
              <w:rPr>
                <w:rFonts w:ascii="Times New Roman" w:cs="Times New Roman" w:eastAsia="Times New Roman" w:hAnsi="Times New Roman"/>
                <w:sz w:val="11"/>
                <w:szCs w:val="11"/>
                <w:color w:val="0000FF"/>
              </w:rPr>
              <w:t>10,054</w:t>
            </w: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vMerge w:val="restart"/>
          </w:tcPr>
          <w:p>
            <w:pPr>
              <w:jc w:val="right"/>
              <w:ind w:right="323"/>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2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40" w:type="dxa"/>
            <w:vAlign w:val="bottom"/>
          </w:tcPr>
          <w:p>
            <w:pPr>
              <w:jc w:val="center"/>
              <w:ind w:left="56"/>
              <w:spacing w:after="0" w:line="51" w:lineRule="exact"/>
              <w:rPr>
                <w:sz w:val="20"/>
                <w:szCs w:val="20"/>
                <w:color w:val="auto"/>
              </w:rPr>
            </w:pPr>
            <w:r>
              <w:rPr>
                <w:rFonts w:ascii="Times New Roman" w:cs="Times New Roman" w:eastAsia="Times New Roman" w:hAnsi="Times New Roman"/>
                <w:sz w:val="5"/>
                <w:szCs w:val="5"/>
                <w:color w:val="0000FF"/>
              </w:rPr>
              <w:t>Stock</w:t>
            </w:r>
          </w:p>
        </w:tc>
        <w:tc>
          <w:tcPr>
            <w:tcW w:w="8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980" w:type="dxa"/>
            <w:vAlign w:val="bottom"/>
          </w:tcPr>
          <w:p>
            <w:pPr>
              <w:ind w:left="200"/>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900" w:type="dxa"/>
            <w:vAlign w:val="bottom"/>
            <w:tcBorders>
              <w:top w:val="single" w:sz="8" w:color="2C2C2C"/>
            </w:tcBorders>
            <w:gridSpan w:val="8"/>
          </w:tcPr>
          <w:p>
            <w:pPr>
              <w:ind w:left="60"/>
              <w:spacing w:after="0" w:line="22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24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10"/>
          </w:tcPr>
          <w:p>
            <w:pPr>
              <w:ind w:left="20"/>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gridSpan w:val="3"/>
          </w:tcPr>
          <w:p>
            <w:pPr>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620" w:type="dxa"/>
            <w:vAlign w:val="bottom"/>
          </w:tcPr>
          <w:p>
            <w:pPr>
              <w:spacing w:after="0"/>
              <w:rPr>
                <w:sz w:val="19"/>
                <w:szCs w:val="19"/>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60" w:type="dxa"/>
            <w:vAlign w:val="bottom"/>
            <w:gridSpan w:val="3"/>
          </w:tcPr>
          <w:p>
            <w:pPr>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RA Capital Healthcare Fund LP</w:t>
              </w:r>
            </w:hyperlink>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gridSpan w:val="3"/>
          </w:tcPr>
          <w:p>
            <w:pPr>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620" w:type="dxa"/>
            <w:vAlign w:val="bottom"/>
          </w:tcPr>
          <w:p>
            <w:pPr>
              <w:spacing w:after="0"/>
              <w:rPr>
                <w:sz w:val="19"/>
                <w:szCs w:val="19"/>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60" w:type="dxa"/>
            <w:vAlign w:val="bottom"/>
            <w:gridSpan w:val="3"/>
          </w:tcPr>
          <w:p>
            <w:pPr>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8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RA Capital Nexus Fund II, L.P.</w:t>
              </w:r>
            </w:hyperlink>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gridSpan w:val="3"/>
          </w:tcPr>
          <w:p>
            <w:pPr>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620" w:type="dxa"/>
            <w:vAlign w:val="bottom"/>
          </w:tcPr>
          <w:p>
            <w:pPr>
              <w:spacing w:after="0"/>
              <w:rPr>
                <w:sz w:val="19"/>
                <w:szCs w:val="19"/>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60" w:type="dxa"/>
            <w:vAlign w:val="bottom"/>
            <w:gridSpan w:val="3"/>
          </w:tcPr>
          <w:p>
            <w:pPr>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8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RA Capital Nexus Fund IV, L.P.</w:t>
              </w:r>
            </w:hyperlink>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gridSpan w:val="3"/>
          </w:tcPr>
          <w:p>
            <w:pPr>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620" w:type="dxa"/>
            <w:vAlign w:val="bottom"/>
          </w:tcPr>
          <w:p>
            <w:pPr>
              <w:spacing w:after="0"/>
              <w:rPr>
                <w:sz w:val="19"/>
                <w:szCs w:val="19"/>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60" w:type="dxa"/>
            <w:vAlign w:val="bottom"/>
            <w:gridSpan w:val="3"/>
          </w:tcPr>
          <w:p>
            <w:pPr>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8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ind w:left="20"/>
              <w:spacing w:after="0" w:line="213" w:lineRule="exact"/>
              <w:rPr>
                <w:rFonts w:ascii="Times New Roman" w:cs="Times New Roman" w:eastAsia="Times New Roman" w:hAnsi="Times New Roman"/>
                <w:sz w:val="20"/>
                <w:szCs w:val="20"/>
                <w:color w:val="0000EE"/>
                <w:w w:val="98"/>
              </w:rPr>
            </w:pPr>
            <w:hyperlink r:id="rId19">
              <w:r>
                <w:rPr>
                  <w:rFonts w:ascii="Times New Roman" w:cs="Times New Roman" w:eastAsia="Times New Roman" w:hAnsi="Times New Roman"/>
                  <w:sz w:val="20"/>
                  <w:szCs w:val="20"/>
                  <w:color w:val="0000EE"/>
                  <w:w w:val="98"/>
                </w:rPr>
                <w:t>Kolchinsky Peter</w:t>
              </w:r>
            </w:hyperlink>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gridSpan w:val="3"/>
          </w:tcPr>
          <w:p>
            <w:pPr>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620" w:type="dxa"/>
            <w:vAlign w:val="bottom"/>
          </w:tcPr>
          <w:p>
            <w:pPr>
              <w:spacing w:after="0"/>
              <w:rPr>
                <w:sz w:val="19"/>
                <w:szCs w:val="19"/>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460" w:type="dxa"/>
            <w:vAlign w:val="bottom"/>
            <w:gridSpan w:val="3"/>
          </w:tcPr>
          <w:p>
            <w:pPr>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9" w:right="359" w:bottom="0" w:gutter="0" w:footer="0" w:header="0"/>
        </w:sectPr>
      </w:pPr>
    </w:p>
    <w:p>
      <w:pPr>
        <w:ind w:left="120"/>
        <w:spacing w:after="0"/>
        <w:rPr>
          <w:rFonts w:ascii="Times New Roman" w:cs="Times New Roman" w:eastAsia="Times New Roman" w:hAnsi="Times New Roman"/>
          <w:sz w:val="19"/>
          <w:szCs w:val="19"/>
          <w:u w:val="single" w:color="auto"/>
          <w:color w:val="0000EE"/>
        </w:rPr>
      </w:pPr>
      <w:hyperlink r:id="rId20">
        <w:r>
          <w:rPr>
            <w:rFonts w:ascii="Times New Roman" w:cs="Times New Roman" w:eastAsia="Times New Roman" w:hAnsi="Times New Roman"/>
            <w:sz w:val="19"/>
            <w:szCs w:val="19"/>
            <w:u w:val="single" w:color="auto"/>
            <w:color w:val="0000EE"/>
          </w:rPr>
          <w:t>Shah Rajeev M.</w:t>
        </w:r>
      </w:hyperlink>
    </w:p>
    <w:p>
      <w:pPr>
        <w:sectPr>
          <w:pgSz w:w="11900" w:h="16838" w:orient="portrait"/>
          <w:cols w:equalWidth="0" w:num="1">
            <w:col w:w="11080"/>
          </w:cols>
          <w:pgMar w:left="460" w:top="189" w:right="359" w:bottom="0" w:gutter="0" w:footer="0" w:header="0"/>
          <w:type w:val="continuous"/>
        </w:sectPr>
      </w:pPr>
    </w:p>
    <w:bookmarkStart w:id="2" w:name="page3"/>
    <w:bookmarkEnd w:id="2"/>
    <w:tbl>
      <w:tblPr>
        <w:tblLayout w:type="fixed"/>
        <w:tblInd w:w="42"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780" w:type="dxa"/>
            <w:vAlign w:val="bottom"/>
          </w:tcPr>
          <w:p>
            <w:pPr>
              <w:ind w:left="380"/>
              <w:spacing w:after="0"/>
              <w:rPr>
                <w:sz w:val="20"/>
                <w:szCs w:val="20"/>
                <w:color w:val="auto"/>
              </w:rPr>
            </w:pPr>
            <w:r>
              <w:rPr>
                <w:rFonts w:ascii="Arial" w:cs="Arial" w:eastAsia="Arial" w:hAnsi="Arial"/>
                <w:sz w:val="13"/>
                <w:szCs w:val="13"/>
                <w:color w:val="auto"/>
              </w:rPr>
              <w:t>(First)</w:t>
            </w:r>
          </w:p>
        </w:tc>
        <w:tc>
          <w:tcPr>
            <w:tcW w:w="1360" w:type="dxa"/>
            <w:vAlign w:val="bottom"/>
          </w:tcPr>
          <w:p>
            <w:pPr>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C/O RA CAPITAL MANAGEMENT, L.P.</w:t>
            </w:r>
          </w:p>
        </w:tc>
        <w:tc>
          <w:tcPr>
            <w:tcW w:w="1360" w:type="dxa"/>
            <w:vAlign w:val="bottom"/>
          </w:tcPr>
          <w:p>
            <w:pPr>
              <w:spacing w:after="0"/>
              <w:rPr>
                <w:sz w:val="22"/>
                <w:szCs w:val="22"/>
                <w:color w:val="auto"/>
              </w:rPr>
            </w:pPr>
          </w:p>
        </w:tc>
      </w:tr>
      <w:tr>
        <w:trPr>
          <w:trHeight w:val="251"/>
        </w:trPr>
        <w:tc>
          <w:tcPr>
            <w:tcW w:w="20" w:type="dxa"/>
            <w:vAlign w:val="bottom"/>
          </w:tcPr>
          <w:p>
            <w:pPr>
              <w:spacing w:after="0"/>
              <w:rPr>
                <w:sz w:val="21"/>
                <w:szCs w:val="21"/>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136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5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7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MA</w:t>
            </w: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0000FF"/>
              </w:rPr>
              <w:t>02116</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780" w:type="dxa"/>
            <w:vAlign w:val="bottom"/>
          </w:tcPr>
          <w:p>
            <w:pPr>
              <w:ind w:left="380"/>
              <w:spacing w:after="0"/>
              <w:rPr>
                <w:sz w:val="20"/>
                <w:szCs w:val="20"/>
                <w:color w:val="auto"/>
              </w:rPr>
            </w:pPr>
            <w:r>
              <w:rPr>
                <w:rFonts w:ascii="Arial" w:cs="Arial" w:eastAsia="Arial" w:hAnsi="Arial"/>
                <w:sz w:val="13"/>
                <w:szCs w:val="13"/>
                <w:color w:val="auto"/>
              </w:rPr>
              <w:t>(State)</w:t>
            </w:r>
          </w:p>
        </w:tc>
        <w:tc>
          <w:tcPr>
            <w:tcW w:w="13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1145" cy="1214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1145" cy="1214755"/>
                    </a:xfrm>
                    <a:prstGeom prst="rect">
                      <a:avLst/>
                    </a:prstGeom>
                    <a:noFill/>
                  </pic:spPr>
                </pic:pic>
              </a:graphicData>
            </a:graphic>
          </wp:anchor>
        </w:drawing>
      </w:r>
    </w:p>
    <w:p>
      <w:pPr>
        <w:ind w:left="2"/>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 w:right="240" w:hanging="2"/>
        <w:spacing w:after="0" w:line="24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A Preferred Stock, Series B Preferred Stock and Series C Preferred Stock automatically converted into shares of Common Stock immediately prior to the closing of the Issuer's initial public offering for no additional consideration, on a 22-for-1 basis, and had no expiration date.</w:t>
      </w:r>
    </w:p>
    <w:p>
      <w:pPr>
        <w:spacing w:after="0" w:line="21" w:lineRule="exact"/>
        <w:rPr>
          <w:rFonts w:ascii="Times New Roman" w:cs="Times New Roman" w:eastAsia="Times New Roman" w:hAnsi="Times New Roman"/>
          <w:sz w:val="13"/>
          <w:szCs w:val="13"/>
          <w:color w:val="008000"/>
        </w:rPr>
      </w:pPr>
    </w:p>
    <w:p>
      <w:pPr>
        <w:ind w:left="2" w:right="80" w:hanging="2"/>
        <w:spacing w:after="0" w:line="293" w:lineRule="auto"/>
        <w:tabs>
          <w:tab w:leader="none" w:pos="128"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RA Capital Management, L.P. (the "Adviser") is the investment manager for RA Capital Healthcare Fund, L.P. (the "Fund"), RA Capital Nexus II Fund, L.P. (the "Nexus Fund II") and RA Capital Nexus IV Fund, L.P. (the "Nexus Fund IV"). The general partner of the Adviser is RA Capital Management GP, LLC (the "Adviser GP"), of which Dr. Peter Kolchinsky and Mr. Rajeev Shah are the managing members. The Adviser, the Adviser GP, the Fund, the Nexus Fund II, the Nexus Fund IV, Dr. Kolchinsky and Mr. Shah disclaim beneficial ownership of any of the reported securities, except to the extent of their pecuniary interest therein.</w:t>
      </w:r>
    </w:p>
    <w:p>
      <w:pPr>
        <w:ind w:left="122" w:hanging="122"/>
        <w:spacing w:after="0"/>
        <w:tabs>
          <w:tab w:leader="none" w:pos="12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II.</w:t>
      </w:r>
    </w:p>
    <w:p>
      <w:pPr>
        <w:spacing w:after="0" w:line="38"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IV.</w:t>
      </w:r>
    </w:p>
    <w:p>
      <w:pPr>
        <w:spacing w:after="0" w:line="38" w:lineRule="exact"/>
        <w:rPr>
          <w:rFonts w:ascii="Times New Roman" w:cs="Times New Roman" w:eastAsia="Times New Roman" w:hAnsi="Times New Roman"/>
          <w:sz w:val="13"/>
          <w:szCs w:val="13"/>
          <w:color w:val="008000"/>
        </w:rPr>
      </w:pPr>
    </w:p>
    <w:p>
      <w:pPr>
        <w:ind w:left="2" w:hanging="2"/>
        <w:spacing w:after="0" w:line="235"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$24.00 to $24.9994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2" w:hanging="2"/>
        <w:spacing w:after="0" w:line="235"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$23.495 to $24.455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jc w:val="both"/>
        <w:ind w:left="2" w:right="60" w:hanging="2"/>
        <w:spacing w:after="0" w:line="235"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$24.505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008000"/>
        </w:rPr>
        <w:t>Dr. Laura Tadvalkar, a Managing Director of the Adviser, serves on the Issuer's board of directors.</w:t>
      </w:r>
    </w:p>
    <w:p>
      <w:pPr>
        <w:sectPr>
          <w:pgSz w:w="11900" w:h="16838" w:orient="portrait"/>
          <w:cols w:equalWidth="0" w:num="1">
            <w:col w:w="10882"/>
          </w:cols>
          <w:pgMar w:left="498" w:top="164" w:right="519" w:bottom="1440" w:gutter="0" w:footer="0" w:header="0"/>
        </w:sectPr>
      </w:pPr>
    </w:p>
    <w:p>
      <w:pPr>
        <w:spacing w:after="0" w:line="64"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363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47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363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RA Capital Healthcare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307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2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363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RA Capital Nexus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642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3328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Capital Nexus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35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Peter Kolchinsky,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363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RA Capital Nexus Fund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3049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332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Capital Nexus Fund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62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8578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499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195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1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1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1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1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1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8702" w:space="60"/>
            <w:col w:w="2120"/>
          </w:cols>
          <w:pgMar w:left="498" w:top="164" w:right="519" w:bottom="1440" w:gutter="0" w:footer="0" w:header="0"/>
          <w:type w:val="continuous"/>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56"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6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2114044" TargetMode="External"/><Relationship Id="rId16"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825376" TargetMode="External"/><Relationship Id="rId18" Type="http://schemas.openxmlformats.org/officeDocument/2006/relationships/hyperlink" Target="http://www.sec.gov/cgi-bin/browse-edgar?action=getcompany&amp;CIK=0002053586" TargetMode="External"/><Relationship Id="rId19" Type="http://schemas.openxmlformats.org/officeDocument/2006/relationships/hyperlink" Target="http://www.sec.gov/cgi-bin/browse-edgar?action=getcompany&amp;CIK=0001384859" TargetMode="External"/><Relationship Id="rId20"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2026-05-06T18:17:55Z</dcterms:created>
  <dcterms:modified xsi:type="dcterms:W3CDTF">2026-05-06T18:17:55Z</dcterms:modified>
</cp:coreProperties>
</file>