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Hemab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2,295,029.00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2,295,029.00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Global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2,295,029.00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2,295,029.00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2,295,029.00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71,206.00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71,206.00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71,206.00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71,206.00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71,206.00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71,206.00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Ulys,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71,206.00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71,206.00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71,206.00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Debbane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PANAMA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2,366,235.00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2,366,235.00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2,366,235.00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Hemab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MAIN STREET, SUITE 1220,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5, 2026, Invus Public Equities directly held 2,295,029 shares of common stock, $0.0001 par value per share (the "Shares") of Hemab Therapeutics Holdings, Inc. (the "Issuer"), and Avicenna Fund directly held 71,206 Shares of the Issuer.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directly held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August 5, 2026, each of the Reporting Persons may be deemed to be the beneficial owner of the percentage of Shares listed on such Reporting Person's cover page. Calculations of the percentage of Shares beneficially owned are based on 46,705,410 Shares outstanding as of May 8, 2026, based on information provided by the Issuer in its quarterly report on Form 10-Q as filed with the Securities and Exchange Commission on May 21,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Invus Public Equities,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President of Invus Public Equities Advisors,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Invus Public Equities Advisors,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Invus Global Management,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Siren, L.L.C.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Fund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Raymond Debbane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Raymond Debbane, Chief Executive Officer of Avicenna Life Sci Master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Chief Executive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Ulys, L.L.C.</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Raymond Debbane</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Raymond Debbane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Raymond Debbane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shd w:fill="FFFFFF" w:val="clear"/>
        <w:bidi w:val="0"/>
        <w:jc w:val="right"/>
        <w:rPr>
          <w:rFonts w:ascii="Times New Roman;Times;Serif" w:hAnsi="Times New Roman;Times;Serif"/>
          <w:b w:val="false"/>
          <w:i w:val="false"/>
          <w:caps w:val="false"/>
          <w:smallCaps w:val="false"/>
          <w:sz w:val="20"/>
        </w:rPr>
      </w:pPr>
      <w:bookmarkStart w:id="44" w:name="exhibit991.htm"/>
      <w:bookmarkStart w:id="45" w:name="ksexhibit991"/>
      <w:bookmarkEnd w:id="44"/>
      <w:bookmarkEnd w:id="45"/>
      <w:r>
        <w:rPr>
          <w:rFonts w:ascii="Times New Roman;Times;Serif" w:hAnsi="Times New Roman;Times;Serif"/>
          <w:b w:val="false"/>
          <w:i w:val="false"/>
          <w:caps w:val="false"/>
          <w:smallCaps w:val="false"/>
          <w:sz w:val="20"/>
        </w:rPr>
        <w:t>Exhibit 99.1</w:t>
      </w:r>
      <w:r>
        <w:br w:type="page"/>
      </w:r>
    </w:p>
    <w:p>
      <w:pPr>
        <w:pStyle w:val="TextBody"/>
        <w:shd w:fill="FFFFFF" w:val="clear"/>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securities of Hemab Therapeutics Holdings, Inc. is, and any amendments thereto signed by each or any of the undersigned shall be, filed on behalf of each of such person pursuant to, and in accordance with, the provisions of Rule 13d-1(k) under the Securities Exchange Act of 1934, as amended.</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7, 2026</w:t>
      </w:r>
    </w:p>
    <w:p>
      <w:pPr>
        <w:pStyle w:val="TextBody"/>
        <w:bidi w:val="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PUBLIC EQUITIES, L.P.</w:t>
      </w:r>
    </w:p>
    <w:p>
      <w:pPr>
        <w:pStyle w:val="TextBody"/>
        <w:bidi w:val="0"/>
        <w:ind w:left="5040" w:right="5040" w:firstLine="72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INVUS PUBLIC EQUITIES ADVISORS,</w:t>
      </w:r>
    </w:p>
    <w:p>
      <w:pPr>
        <w:pStyle w:val="TextBody"/>
        <w:bidi w:val="0"/>
        <w:ind w:left="5040" w:right="50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LLC, its general partner</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President</w:t>
      </w:r>
    </w:p>
    <w:p>
      <w:pPr>
        <w:pStyle w:val="TextBody"/>
        <w:bidi w:val="0"/>
        <w:ind w:left="5040" w:right="5040" w:hanging="0"/>
        <w:jc w:val="left"/>
        <w:rPr>
          <w:caps w:val="false"/>
          <w:smallCaps w:val="false"/>
        </w:rPr>
      </w:pPr>
      <w:r>
        <w:rPr>
          <w:caps w:val="false"/>
          <w:smallCaps w:val="false"/>
        </w:rPr>
        <w:t> </w:t>
      </w:r>
    </w:p>
    <w:p>
      <w:pPr>
        <w:pStyle w:val="TextBody"/>
        <w:bidi w:val="0"/>
        <w:ind w:left="5040" w:right="5040" w:hanging="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PUBLIC EQUITIES ADVISORS, LLC</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President</w:t>
      </w:r>
    </w:p>
    <w:p>
      <w:pPr>
        <w:pStyle w:val="TextBody"/>
        <w:bidi w:val="0"/>
        <w:ind w:left="5040" w:right="5040" w:firstLine="1440"/>
        <w:jc w:val="left"/>
        <w:rPr>
          <w:caps w:val="false"/>
          <w:smallCaps w:val="false"/>
        </w:rPr>
      </w:pPr>
      <w:r>
        <w:rPr>
          <w:caps w:val="false"/>
          <w:smallCaps w:val="false"/>
        </w:rPr>
        <w:t> </w:t>
      </w:r>
    </w:p>
    <w:p>
      <w:pPr>
        <w:pStyle w:val="TextBody"/>
        <w:bidi w:val="0"/>
        <w:ind w:left="5040" w:right="504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GLOBAL MANAGEMENT,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SIREN,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AVICENNA LIFE SCI MASTER FUND LP</w:t>
      </w:r>
    </w:p>
    <w:p>
      <w:pPr>
        <w:pStyle w:val="TextBody"/>
        <w:bidi w:val="0"/>
        <w:ind w:left="5040" w:right="5040" w:firstLine="72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AVICENNA LIFE SCI MASTER GP LLC, its general partner</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Chief Executive Officer</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AVICENNA LIFE SCI MASTER GP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ULYS,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RAYMOND DEBBANE</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2329</Words>
  <Characters>12327</Characters>
  <CharactersWithSpaces>14503</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