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 2026</w:t>
      </w:r>
    </w:p>
    <w:p>
      <w:pPr>
        <w:spacing w:after="0" w:line="74"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128905</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230505</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HEMAB THERAPEUTICS HOLDINGS,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223520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520" w:type="dxa"/>
        <w:tblCellMar>
          <w:top w:w="0" w:type="dxa"/>
          <w:left w:w="0" w:type="dxa"/>
          <w:bottom w:w="0" w:type="dxa"/>
          <w:right w:w="0" w:type="dxa"/>
        </w:tblCellMar>
      </w:tblPr>
      <w:tr>
        <w:trPr>
          <w:trHeight w:val="211"/>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8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41-4241952</w:t>
            </w:r>
          </w:p>
        </w:tc>
      </w:tr>
      <w:tr>
        <w:trPr>
          <w:trHeight w:val="147"/>
        </w:trPr>
        <w:tc>
          <w:tcPr>
            <w:tcW w:w="25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780" w:type="dxa"/>
            <w:vAlign w:val="bottom"/>
          </w:tcPr>
          <w:p>
            <w:pPr>
              <w:jc w:val="center"/>
              <w:ind w:left="3599"/>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780" w:type="dxa"/>
            <w:vAlign w:val="bottom"/>
          </w:tcPr>
          <w:p>
            <w:pPr>
              <w:jc w:val="center"/>
              <w:ind w:left="359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3"/>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101 Main Street, Suite 1220</w:t>
            </w:r>
          </w:p>
        </w:tc>
        <w:tc>
          <w:tcPr>
            <w:tcW w:w="4780" w:type="dxa"/>
            <w:vAlign w:val="bottom"/>
          </w:tcPr>
          <w:p>
            <w:pPr>
              <w:spacing w:after="0"/>
              <w:rPr>
                <w:sz w:val="24"/>
                <w:szCs w:val="24"/>
                <w:color w:val="auto"/>
              </w:rPr>
            </w:pPr>
          </w:p>
        </w:tc>
      </w:tr>
      <w:tr>
        <w:trPr>
          <w:trHeight w:val="225"/>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Cambridge, MA</w:t>
            </w:r>
          </w:p>
        </w:tc>
        <w:tc>
          <w:tcPr>
            <w:tcW w:w="4780" w:type="dxa"/>
            <w:vAlign w:val="bottom"/>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87"/>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780" w:type="dxa"/>
            <w:vAlign w:val="bottom"/>
          </w:tcPr>
          <w:p>
            <w:pPr>
              <w:jc w:val="center"/>
              <w:ind w:left="359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2500" w:type="dxa"/>
            <w:vAlign w:val="bottom"/>
          </w:tcPr>
          <w:p>
            <w:pPr>
              <w:spacing w:after="0"/>
              <w:rPr>
                <w:sz w:val="24"/>
                <w:szCs w:val="24"/>
                <w:color w:val="auto"/>
              </w:rPr>
            </w:pPr>
          </w:p>
        </w:tc>
        <w:tc>
          <w:tcPr>
            <w:tcW w:w="478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7"/>
              </w:rPr>
              <w:t>Individual Warrant Agreements</w:t>
            </w:r>
          </w:p>
        </w:tc>
      </w:tr>
      <w:tr>
        <w:trPr>
          <w:trHeight w:val="214"/>
        </w:trPr>
        <w:tc>
          <w:tcPr>
            <w:tcW w:w="2500" w:type="dxa"/>
            <w:vAlign w:val="bottom"/>
          </w:tcPr>
          <w:p>
            <w:pPr>
              <w:spacing w:after="0"/>
              <w:rPr>
                <w:sz w:val="18"/>
                <w:szCs w:val="18"/>
                <w:color w:val="auto"/>
              </w:rPr>
            </w:pPr>
          </w:p>
        </w:tc>
        <w:tc>
          <w:tcPr>
            <w:tcW w:w="478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2026 Equity Incentive Plan</w:t>
            </w:r>
          </w:p>
        </w:tc>
      </w:tr>
      <w:tr>
        <w:trPr>
          <w:trHeight w:val="211"/>
        </w:trPr>
        <w:tc>
          <w:tcPr>
            <w:tcW w:w="2500" w:type="dxa"/>
            <w:vAlign w:val="bottom"/>
          </w:tcPr>
          <w:p>
            <w:pPr>
              <w:spacing w:after="0"/>
              <w:rPr>
                <w:sz w:val="18"/>
                <w:szCs w:val="18"/>
                <w:color w:val="auto"/>
              </w:rPr>
            </w:pPr>
          </w:p>
        </w:tc>
        <w:tc>
          <w:tcPr>
            <w:tcW w:w="478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2026 Employee Stock Purchase Plan</w:t>
            </w:r>
          </w:p>
        </w:tc>
      </w:tr>
      <w:tr>
        <w:trPr>
          <w:trHeight w:val="187"/>
        </w:trPr>
        <w:tc>
          <w:tcPr>
            <w:tcW w:w="2500" w:type="dxa"/>
            <w:vAlign w:val="bottom"/>
          </w:tcPr>
          <w:p>
            <w:pPr>
              <w:spacing w:after="0"/>
              <w:rPr>
                <w:sz w:val="16"/>
                <w:szCs w:val="16"/>
                <w:color w:val="auto"/>
              </w:rPr>
            </w:pPr>
          </w:p>
        </w:tc>
        <w:tc>
          <w:tcPr>
            <w:tcW w:w="478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r>
    </w:tbl>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Benny Sørensen</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101 Main Street, Suite 1220</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553-3952</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215900</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18"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The information required by Item 1 is omitted from this registration statement and included in documents sent or given to participants in the plans covered by this registration statement pursuant to Rule 428(b)(1) of the Securities Act of 1933, as amended (the “Securities Act”), and the Note to Part I of Form S-8.</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118"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The written statement required by Item 2 is omitted from this registration statement and included in documents sent or given to participants in the plans covered by this registration statement pursuant to Rule 428(b)(1) of the Securities Act and the Note to Part I of Form S-8.</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jc w:val="both"/>
        <w:ind w:right="80" w:firstLine="436"/>
        <w:spacing w:after="0" w:line="257" w:lineRule="auto"/>
        <w:rPr>
          <w:sz w:val="20"/>
          <w:szCs w:val="20"/>
          <w:color w:val="auto"/>
        </w:rPr>
      </w:pPr>
      <w:r>
        <w:rPr>
          <w:rFonts w:ascii="Times New Roman" w:cs="Times New Roman" w:eastAsia="Times New Roman" w:hAnsi="Times New Roman"/>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75" w:lineRule="exact"/>
        <w:rPr>
          <w:sz w:val="20"/>
          <w:szCs w:val="20"/>
          <w:color w:val="auto"/>
        </w:rPr>
      </w:pPr>
    </w:p>
    <w:p>
      <w:pPr>
        <w:ind w:right="180" w:firstLine="430"/>
        <w:spacing w:after="0" w:line="277" w:lineRule="auto"/>
        <w:tabs>
          <w:tab w:leader="none" w:pos="6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prospectus dated April 30, 2026, filed with the Commission pursuant to </w:t>
      </w:r>
      <w:hyperlink r:id="rId17">
        <w:r>
          <w:rPr>
            <w:rFonts w:ascii="Times New Roman" w:cs="Times New Roman" w:eastAsia="Times New Roman" w:hAnsi="Times New Roman"/>
            <w:sz w:val="18"/>
            <w:szCs w:val="18"/>
            <w:u w:val="single" w:color="auto"/>
            <w:color w:val="0000EE"/>
          </w:rPr>
          <w:t>Rule 424(b)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Securities Act, relating to the registration statement on Form S-1, as amended (File No. 333-294989), and all amendments to such registration statement; and</w:t>
      </w:r>
    </w:p>
    <w:p>
      <w:pPr>
        <w:spacing w:after="0" w:line="56" w:lineRule="exact"/>
        <w:rPr>
          <w:rFonts w:ascii="Times New Roman" w:cs="Times New Roman" w:eastAsia="Times New Roman" w:hAnsi="Times New Roman"/>
          <w:sz w:val="18"/>
          <w:szCs w:val="18"/>
          <w:color w:val="auto"/>
        </w:rPr>
      </w:pPr>
    </w:p>
    <w:p>
      <w:pPr>
        <w:ind w:right="180" w:firstLine="430"/>
        <w:spacing w:after="0" w:line="277" w:lineRule="auto"/>
        <w:tabs>
          <w:tab w:leader="none" w:pos="6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1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001-43250), filed with the Commission on April 27, 2026, together with any amendment thereto filed for the purpose of updating such description.</w:t>
      </w:r>
    </w:p>
    <w:p>
      <w:pPr>
        <w:spacing w:after="0" w:line="163" w:lineRule="exact"/>
        <w:rPr>
          <w:rFonts w:ascii="Times New Roman" w:cs="Times New Roman" w:eastAsia="Times New Roman" w:hAnsi="Times New Roman"/>
          <w:sz w:val="18"/>
          <w:szCs w:val="18"/>
          <w:color w:val="auto"/>
        </w:rPr>
      </w:pPr>
    </w:p>
    <w:p>
      <w:pPr>
        <w:ind w:right="60" w:firstLine="436"/>
        <w:spacing w:after="0" w:line="252"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91"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18"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0840"/>
          </w:cols>
          <w:pgMar w:left="500" w:top="264" w:right="559" w:bottom="1440" w:gutter="0" w:footer="0" w:header="0"/>
        </w:sectPr>
      </w:pPr>
    </w:p>
    <w:bookmarkStart w:id="2" w:name="page3"/>
    <w:bookmarkEnd w:id="2"/>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5. Interests of Named Experts and Counsel.</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8" w:lineRule="exact"/>
        <w:rPr>
          <w:sz w:val="20"/>
          <w:szCs w:val="20"/>
          <w:color w:val="auto"/>
        </w:rPr>
      </w:pPr>
    </w:p>
    <w:p>
      <w:pPr>
        <w:jc w:val="both"/>
        <w:ind w:right="20" w:firstLine="436"/>
        <w:spacing w:after="0" w:line="262" w:lineRule="auto"/>
        <w:rPr>
          <w:sz w:val="20"/>
          <w:szCs w:val="20"/>
          <w:color w:val="auto"/>
        </w:rPr>
      </w:pPr>
      <w:r>
        <w:rPr>
          <w:rFonts w:ascii="Times New Roman" w:cs="Times New Roman" w:eastAsia="Times New Roman" w:hAnsi="Times New Roman"/>
          <w:sz w:val="18"/>
          <w:szCs w:val="18"/>
          <w:color w:val="auto"/>
        </w:rPr>
        <w:t>The following summary is qualified in its entirety by reference to the complete Delaware General Corporation Law (“DGCL”) and the registrant’s restated certificate of incorporation (“Certificate of Incorporation”) and the registrant’s amended and restated bylaws, in each case that will be effective immediately prior to the completion of its initial public offering of common stock.</w:t>
      </w:r>
    </w:p>
    <w:p>
      <w:pPr>
        <w:spacing w:after="0" w:line="177"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7"/>
          <w:szCs w:val="17"/>
          <w:color w:val="auto"/>
        </w:rPr>
        <w:t>Section 102(b)(7) of the DGCL provides, generally, that a corporation may include in its certificate of incorporation a provision eliminating or limiting the personal liability of a director or officer to the corporation or its shareholders for monetary damages for breach of fiduciary duty as a director or officer, provided that such provision may not eliminate or limit the liability of (i) a director or officer for any breach of the director’s or officer’s duty of loyalty to the corporation or its shareholders,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w:t>
      </w:r>
    </w:p>
    <w:p>
      <w:pPr>
        <w:spacing w:after="0" w:line="170" w:lineRule="exact"/>
        <w:rPr>
          <w:sz w:val="20"/>
          <w:szCs w:val="20"/>
          <w:color w:val="auto"/>
        </w:rPr>
      </w:pPr>
    </w:p>
    <w:p>
      <w:pPr>
        <w:ind w:right="40" w:firstLine="436"/>
        <w:spacing w:after="0" w:line="250" w:lineRule="auto"/>
        <w:rPr>
          <w:sz w:val="20"/>
          <w:szCs w:val="20"/>
          <w:color w:val="auto"/>
        </w:rPr>
      </w:pPr>
      <w:r>
        <w:rPr>
          <w:rFonts w:ascii="Times New Roman" w:cs="Times New Roman" w:eastAsia="Times New Roman" w:hAnsi="Times New Roman"/>
          <w:sz w:val="18"/>
          <w:szCs w:val="18"/>
          <w:color w:val="auto"/>
        </w:rPr>
        <w:t xml:space="preserve">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person acted in good faith and in a manner he or she reasonably believed to be in or not opposed to the best interests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corporation, and, in the case of claims, issues and matters as to which such person shall have been adjudged liable to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93"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The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a director or officer of the registrant or, while a director or officer of the registrant, is or was serving, or has agreed to serve, at the request of the registrant as a director, officer, partner, employee or trustee of, or in a similar capacity with, another corporation, partnership, joint venture, trust or other enterprise (including any employment benefit plan) (all such persons being referred to as an “Indemnitee”), or by reason of any action alleged to have been taken or omitted by an Indemnitee in such capacity, against all expenses (including attorneys’ fees), liabilities, losses judgments, fines (including excise taxes and penalties arising under the Employee Retirement Income Security Act of 1974), and amounts paid in settlement actually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880"/>
          </w:cols>
          <w:pgMar w:left="500" w:top="264" w:right="519" w:bottom="1440" w:gutter="0" w:footer="0" w:header="0"/>
        </w:sectPr>
      </w:pPr>
    </w:p>
    <w:bookmarkStart w:id="3" w:name="page4"/>
    <w:bookmarkEnd w:id="3"/>
    <w:p>
      <w:pPr>
        <w:ind w:right="2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and reasonably incurred on or on behalf of the Indemnitee in connection with such action, suit or proceeding and any appeal therefrom, if such Indemnitee acted in good faith and in a manner he or she reasonably believed to be in, or not opposed to, the best interests of the registrant, and, with respect to any criminal action or proceeding, he or she had no reasonable cause to believe his or her conduct was unlawful.</w:t>
      </w:r>
    </w:p>
    <w:p>
      <w:pPr>
        <w:spacing w:after="0" w:line="177"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7"/>
          <w:szCs w:val="17"/>
          <w:color w:val="auto"/>
        </w:rPr>
        <w:t>The Certificate of Incorporation also provides that the registrant will indemnify any Indemnitee who was or is a party to or threatened to be made a party to any threatened, pending or completed action or suit by or in the right of the registrant to procure a judgment in the registrant’s favor by reason of the fact that the Indemnitee is or was, or has agreed to become, a director or officer of the registrant or, while a director or officer of the registrant, is or was serving, or has agreed to serve, at the request of the registrant as a director, officer, partner, employee, or trustee of, or in a similar capacity with, another corporation, partnership, joint venture, trust, or other enterprise (including any employee benefit plan), or by reason of any action alleged to have been taken or omitted by he or she in such capacity, against all expenses (including attorneys’ fees) and, to the extent permitted by law, amounts paid in settlement actually and reasonably incurred by or on behalf of the Indemnitee in connection with such action, suit or proceeding, and any appeal therefrom, if the Indemnitee acted in good faith and in a manner he or she reasonably believed to be in, or not opposed to, the best interests of the registrant, except that no indemnification shall be made in respect of any claim, issue or matter as to which such person shall have been adjudged to be liable to the registrant, unless, and only to the extent, that the Court of Chancery of Delaware or the court in which such action or suit was brought shall determine upon applications that, despite the adjudication of such liability but in view of all the circumstances of the case, he or she is fairly and reasonably entitled to indemnify for expenses (including attorney’s fees) which the Court of Chancery of Delaware or such other court shall deem proper. Notwithstanding the foregoing, to the extent that any Indemnitee has been successful, on the merits or otherwise, he or she will be indemnified by the registrant against all expenses (including attorneys’ fees) actually and reasonably incurred by him or her or on his or her behalf in connection therewith. If the registrant does not assume the defense, expenses must be advanced to an Indemnitee under certain circumstances.</w:t>
      </w:r>
    </w:p>
    <w:p>
      <w:pPr>
        <w:spacing w:after="0" w:line="182"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In addition, the registrant has entered into indemnification agreements with all of the registrant’s executive officers and directors. In general, these agreements provide that the registrant will indemnify the executive officer or director to the fullest extent permitted by law for claims arising in his or her capacity as an executive officer or director of the registrant or in connection with his or her service at the request of the registrant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83" w:lineRule="exact"/>
        <w:rPr>
          <w:sz w:val="20"/>
          <w:szCs w:val="20"/>
          <w:color w:val="auto"/>
        </w:rPr>
      </w:pPr>
    </w:p>
    <w:p>
      <w:pPr>
        <w:ind w:right="280" w:firstLine="436"/>
        <w:spacing w:after="0" w:line="277" w:lineRule="auto"/>
        <w:rPr>
          <w:sz w:val="20"/>
          <w:szCs w:val="20"/>
          <w:color w:val="auto"/>
        </w:rPr>
      </w:pPr>
      <w:r>
        <w:rPr>
          <w:rFonts w:ascii="Times New Roman" w:cs="Times New Roman" w:eastAsia="Times New Roman" w:hAnsi="Times New Roman"/>
          <w:sz w:val="18"/>
          <w:szCs w:val="18"/>
          <w:color w:val="auto"/>
        </w:rPr>
        <w:t>The registrant maintains a general liability insurance policy that covers certain liabilities of the registrant’s directors and officers arising out of claims based on acts or omissions in their capacities as directors or officers.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840"/>
          </w:cols>
          <w:pgMar w:left="500" w:top="268" w:right="559" w:bottom="1440" w:gutter="0" w:footer="0" w:header="0"/>
        </w:sectPr>
      </w:pPr>
    </w:p>
    <w:bookmarkStart w:id="4" w:name="page5"/>
    <w:bookmarkEnd w:id="4"/>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8. Exhibits.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exhibits are incorporated herein by reference: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w w:val="95"/>
              </w:rPr>
              <w:t>Number</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740" w:type="dxa"/>
            <w:vAlign w:val="bottom"/>
            <w:gridSpan w:val="22"/>
          </w:tcPr>
          <w:p>
            <w:pPr>
              <w:ind w:left="3460"/>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20" w:type="dxa"/>
            <w:vAlign w:val="bottom"/>
          </w:tcPr>
          <w:p>
            <w:pPr>
              <w:spacing w:after="0"/>
              <w:rPr>
                <w:sz w:val="23"/>
                <w:szCs w:val="23"/>
                <w:color w:val="auto"/>
              </w:rPr>
            </w:pPr>
          </w:p>
        </w:tc>
        <w:tc>
          <w:tcPr>
            <w:tcW w:w="90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Amended and Restated Certificate of Incorporation of the registrant (incorporated by reference to Exhibit 3.1 to the registrant’s</w:t>
              </w:r>
            </w:hyperlink>
          </w:p>
        </w:tc>
        <w:tc>
          <w:tcPr>
            <w:tcW w:w="840" w:type="dxa"/>
            <w:vAlign w:val="bottom"/>
            <w:gridSpan w:val="7"/>
          </w:tcPr>
          <w:p>
            <w:pPr>
              <w:spacing w:after="0"/>
              <w:rPr>
                <w:sz w:val="23"/>
                <w:szCs w:val="23"/>
                <w:color w:val="auto"/>
              </w:rPr>
            </w:pPr>
          </w:p>
        </w:tc>
      </w:tr>
      <w:tr>
        <w:trPr>
          <w:trHeight w:val="194"/>
        </w:trPr>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00" w:type="dxa"/>
            <w:vAlign w:val="bottom"/>
            <w:gridSpan w:val="23"/>
          </w:tcPr>
          <w:p>
            <w:pPr>
              <w:spacing w:after="0" w:line="194"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Registration Statement on Form S-1 (File No. 333-294989) filed with the Securities and Exchange Commission on April 10, 2026)</w:t>
              </w:r>
            </w:hyperlink>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20" w:type="dxa"/>
            <w:vAlign w:val="bottom"/>
          </w:tcPr>
          <w:p>
            <w:pPr>
              <w:spacing w:after="0"/>
              <w:rPr>
                <w:sz w:val="24"/>
                <w:szCs w:val="24"/>
                <w:color w:val="auto"/>
              </w:rPr>
            </w:pPr>
          </w:p>
        </w:tc>
        <w:tc>
          <w:tcPr>
            <w:tcW w:w="932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Certificate of Amendment to the Amended and Restated Certificate of Incorporation of the registrant, effective April 24, 2026</w:t>
              </w:r>
            </w:hyperlink>
          </w:p>
        </w:tc>
        <w:tc>
          <w:tcPr>
            <w:tcW w:w="580" w:type="dxa"/>
            <w:vAlign w:val="bottom"/>
            <w:gridSpan w:val="5"/>
          </w:tcPr>
          <w:p>
            <w:pPr>
              <w:spacing w:after="0"/>
              <w:rPr>
                <w:sz w:val="24"/>
                <w:szCs w:val="24"/>
                <w:color w:val="auto"/>
              </w:rPr>
            </w:pPr>
          </w:p>
        </w:tc>
      </w:tr>
      <w:tr>
        <w:trPr>
          <w:trHeight w:val="194"/>
        </w:trPr>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740" w:type="dxa"/>
            <w:vAlign w:val="bottom"/>
            <w:tcBorders>
              <w:top w:val="single" w:sz="8" w:color="0000EE"/>
              <w:bottom w:val="single" w:sz="8" w:color="0000EE"/>
            </w:tcBorders>
            <w:gridSpan w:val="14"/>
          </w:tcPr>
          <w:p>
            <w:pPr>
              <w:spacing w:after="0" w:line="194"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(incorporated by reference to Exhibit 3.5 to Amendment No. 1 to the registrant’s Registration Statement on Form S-1 (File</w:t>
              </w:r>
            </w:hyperlink>
          </w:p>
        </w:tc>
        <w:tc>
          <w:tcPr>
            <w:tcW w:w="280" w:type="dxa"/>
            <w:vAlign w:val="bottom"/>
            <w:tcBorders>
              <w:top w:val="single" w:sz="8" w:color="0000EE"/>
            </w:tcBorders>
          </w:tcPr>
          <w:p>
            <w:pPr>
              <w:spacing w:after="0"/>
              <w:rPr>
                <w:sz w:val="16"/>
                <w:szCs w:val="16"/>
                <w:color w:val="auto"/>
              </w:rPr>
            </w:pPr>
          </w:p>
        </w:tc>
        <w:tc>
          <w:tcPr>
            <w:tcW w:w="880" w:type="dxa"/>
            <w:vAlign w:val="bottom"/>
            <w:gridSpan w:val="8"/>
          </w:tcPr>
          <w:p>
            <w:pPr>
              <w:spacing w:after="0"/>
              <w:rPr>
                <w:sz w:val="16"/>
                <w:szCs w:val="16"/>
                <w:color w:val="auto"/>
              </w:rPr>
            </w:pPr>
          </w:p>
        </w:tc>
      </w:tr>
      <w:tr>
        <w:trPr>
          <w:trHeight w:val="194"/>
        </w:trPr>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38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No. 333-294989) filed with the Securities and Exchange Commission on April 27, 2026)</w:t>
              </w:r>
            </w:hyperlink>
          </w:p>
        </w:tc>
        <w:tc>
          <w:tcPr>
            <w:tcW w:w="3520" w:type="dxa"/>
            <w:vAlign w:val="bottom"/>
            <w:gridSpan w:val="14"/>
          </w:tcPr>
          <w:p>
            <w:pPr>
              <w:spacing w:after="0"/>
              <w:rPr>
                <w:sz w:val="16"/>
                <w:szCs w:val="16"/>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520" w:type="dxa"/>
            <w:vAlign w:val="bottom"/>
          </w:tcPr>
          <w:p>
            <w:pPr>
              <w:spacing w:after="0"/>
              <w:rPr>
                <w:sz w:val="24"/>
                <w:szCs w:val="24"/>
                <w:color w:val="auto"/>
              </w:rPr>
            </w:pPr>
          </w:p>
        </w:tc>
        <w:tc>
          <w:tcPr>
            <w:tcW w:w="9900" w:type="dxa"/>
            <w:vAlign w:val="bottom"/>
            <w:gridSpan w:val="23"/>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Amended and Restated By-Laws of the registrant (incorporated by reference to Exhibit 3.2 to the registrant’s Registration Statement on</w:t>
              </w:r>
            </w:hyperlink>
          </w:p>
        </w:tc>
      </w:tr>
      <w:tr>
        <w:trPr>
          <w:trHeight w:val="194"/>
        </w:trPr>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40" w:type="dxa"/>
            <w:vAlign w:val="bottom"/>
            <w:tcBorders>
              <w:top w:val="single" w:sz="8" w:color="0000EE"/>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Form S-1 (File No. 333-294989) filed with the Securities and Exchange Commission on April 10, 2026)</w:t>
              </w:r>
            </w:hyperlink>
          </w:p>
        </w:tc>
        <w:tc>
          <w:tcPr>
            <w:tcW w:w="2200" w:type="dxa"/>
            <w:vAlign w:val="bottom"/>
            <w:tcBorders>
              <w:top w:val="single" w:sz="8" w:color="0000EE"/>
            </w:tcBorders>
            <w:gridSpan w:val="10"/>
          </w:tcPr>
          <w:p>
            <w:pPr>
              <w:spacing w:after="0"/>
              <w:rPr>
                <w:sz w:val="16"/>
                <w:szCs w:val="16"/>
                <w:color w:val="auto"/>
              </w:rPr>
            </w:pPr>
          </w:p>
        </w:tc>
        <w:tc>
          <w:tcPr>
            <w:tcW w:w="260" w:type="dxa"/>
            <w:vAlign w:val="bottom"/>
            <w:gridSpan w:val="2"/>
          </w:tcPr>
          <w:p>
            <w:pPr>
              <w:spacing w:after="0"/>
              <w:rPr>
                <w:sz w:val="16"/>
                <w:szCs w:val="16"/>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520" w:type="dxa"/>
            <w:vAlign w:val="bottom"/>
          </w:tcPr>
          <w:p>
            <w:pPr>
              <w:spacing w:after="0"/>
              <w:rPr>
                <w:sz w:val="24"/>
                <w:szCs w:val="24"/>
                <w:color w:val="auto"/>
              </w:rPr>
            </w:pPr>
          </w:p>
        </w:tc>
        <w:tc>
          <w:tcPr>
            <w:tcW w:w="99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Form of Restated Certificate of Incorporation of the registrant (to be effective immediately prior to the completion of the registrant’s initial</w:t>
              </w:r>
            </w:hyperlink>
          </w:p>
        </w:tc>
      </w:tr>
      <w:tr>
        <w:trPr>
          <w:trHeight w:val="194"/>
        </w:trPr>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00" w:type="dxa"/>
            <w:vAlign w:val="bottom"/>
            <w:tcBorders>
              <w:bottom w:val="single" w:sz="8" w:color="0000EE"/>
            </w:tcBorders>
            <w:gridSpan w:val="23"/>
          </w:tcPr>
          <w:p>
            <w:pPr>
              <w:spacing w:after="0" w:line="194"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public offering) (incorporated by reference to Exhibit 3.3 to Amendment No. 1 to the registrant’s Registration Statement on Form S-1 (File</w:t>
              </w:r>
            </w:hyperlink>
          </w:p>
        </w:tc>
      </w:tr>
      <w:tr>
        <w:trPr>
          <w:trHeight w:val="194"/>
        </w:trPr>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36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No. 333-294989) filed with the Securities and Exchange Commission on April 27, 2026)</w:t>
              </w:r>
            </w:hyperlink>
          </w:p>
        </w:tc>
        <w:tc>
          <w:tcPr>
            <w:tcW w:w="3540" w:type="dxa"/>
            <w:vAlign w:val="bottom"/>
            <w:gridSpan w:val="15"/>
          </w:tcPr>
          <w:p>
            <w:pPr>
              <w:spacing w:after="0"/>
              <w:rPr>
                <w:sz w:val="16"/>
                <w:szCs w:val="16"/>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520" w:type="dxa"/>
            <w:vAlign w:val="bottom"/>
          </w:tcPr>
          <w:p>
            <w:pPr>
              <w:spacing w:after="0"/>
              <w:rPr>
                <w:sz w:val="24"/>
                <w:szCs w:val="24"/>
                <w:color w:val="auto"/>
              </w:rPr>
            </w:pPr>
          </w:p>
        </w:tc>
        <w:tc>
          <w:tcPr>
            <w:tcW w:w="95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Form of Amended and Restated Bylaws of the registrant (to be effective immediately prior to the completion of the registrant’s initial</w:t>
              </w:r>
            </w:hyperlink>
          </w:p>
        </w:tc>
        <w:tc>
          <w:tcPr>
            <w:tcW w:w="380" w:type="dxa"/>
            <w:vAlign w:val="bottom"/>
            <w:gridSpan w:val="3"/>
          </w:tcPr>
          <w:p>
            <w:pPr>
              <w:spacing w:after="0"/>
              <w:rPr>
                <w:sz w:val="24"/>
                <w:szCs w:val="24"/>
                <w:color w:val="auto"/>
              </w:rPr>
            </w:pPr>
          </w:p>
        </w:tc>
      </w:tr>
      <w:tr>
        <w:trPr>
          <w:trHeight w:val="194"/>
        </w:trPr>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00" w:type="dxa"/>
            <w:vAlign w:val="bottom"/>
            <w:tcBorders>
              <w:bottom w:val="single" w:sz="8" w:color="0000EE"/>
            </w:tcBorders>
            <w:gridSpan w:val="23"/>
          </w:tcPr>
          <w:p>
            <w:pPr>
              <w:spacing w:after="0" w:line="194"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public offering) (incorporated by reference to Exhibit 3.4 to Amendment No. 1 to the registrant’s Registration Statement on Form S-1 (File</w:t>
              </w:r>
            </w:hyperlink>
          </w:p>
        </w:tc>
      </w:tr>
      <w:tr>
        <w:trPr>
          <w:trHeight w:val="194"/>
        </w:trPr>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36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No. 333-294989) filed with the Securities and Exchange Commission on April 27, 2026)</w:t>
              </w:r>
            </w:hyperlink>
          </w:p>
        </w:tc>
        <w:tc>
          <w:tcPr>
            <w:tcW w:w="3540" w:type="dxa"/>
            <w:vAlign w:val="bottom"/>
            <w:gridSpan w:val="15"/>
          </w:tcPr>
          <w:p>
            <w:pPr>
              <w:spacing w:after="0"/>
              <w:rPr>
                <w:sz w:val="16"/>
                <w:szCs w:val="16"/>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520" w:type="dxa"/>
            <w:vAlign w:val="bottom"/>
          </w:tcPr>
          <w:p>
            <w:pPr>
              <w:spacing w:after="0"/>
              <w:rPr>
                <w:sz w:val="24"/>
                <w:szCs w:val="24"/>
                <w:color w:val="auto"/>
              </w:rPr>
            </w:pPr>
          </w:p>
        </w:tc>
        <w:tc>
          <w:tcPr>
            <w:tcW w:w="92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Form of Warrant Agreement (incorporated by reference to Exhibit 4.2 to the registrant’s Registration Statement on Form S-1 (File</w:t>
              </w:r>
            </w:hyperlink>
          </w:p>
        </w:tc>
        <w:tc>
          <w:tcPr>
            <w:tcW w:w="640" w:type="dxa"/>
            <w:vAlign w:val="bottom"/>
            <w:gridSpan w:val="6"/>
          </w:tcPr>
          <w:p>
            <w:pPr>
              <w:spacing w:after="0"/>
              <w:rPr>
                <w:sz w:val="24"/>
                <w:szCs w:val="24"/>
                <w:color w:val="auto"/>
              </w:rPr>
            </w:pPr>
          </w:p>
        </w:tc>
      </w:tr>
      <w:tr>
        <w:trPr>
          <w:trHeight w:val="194"/>
        </w:trPr>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34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No. 333-294989) filed with the Securities and Exchange Commission on April 10, 2026)</w:t>
              </w:r>
            </w:hyperlink>
          </w:p>
        </w:tc>
        <w:tc>
          <w:tcPr>
            <w:tcW w:w="3560" w:type="dxa"/>
            <w:vAlign w:val="bottom"/>
            <w:gridSpan w:val="16"/>
          </w:tcPr>
          <w:p>
            <w:pPr>
              <w:spacing w:after="0"/>
              <w:rPr>
                <w:sz w:val="16"/>
                <w:szCs w:val="16"/>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  5.1*</w:t>
            </w:r>
          </w:p>
        </w:tc>
        <w:tc>
          <w:tcPr>
            <w:tcW w:w="520" w:type="dxa"/>
            <w:vAlign w:val="bottom"/>
          </w:tcPr>
          <w:p>
            <w:pPr>
              <w:spacing w:after="0"/>
              <w:rPr>
                <w:sz w:val="24"/>
                <w:szCs w:val="24"/>
                <w:color w:val="auto"/>
              </w:rPr>
            </w:pPr>
          </w:p>
        </w:tc>
        <w:tc>
          <w:tcPr>
            <w:tcW w:w="57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Opinion of Wilmer Cutler Pickering Hale and Dorr LLP, counsel to the registrant</w:t>
            </w:r>
          </w:p>
        </w:tc>
        <w:tc>
          <w:tcPr>
            <w:tcW w:w="4120" w:type="dxa"/>
            <w:vAlign w:val="bottom"/>
            <w:gridSpan w:val="18"/>
          </w:tcPr>
          <w:p>
            <w:pPr>
              <w:spacing w:after="0"/>
              <w:rPr>
                <w:sz w:val="24"/>
                <w:szCs w:val="24"/>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tcPr>
          <w:p>
            <w:pPr>
              <w:spacing w:after="0"/>
              <w:rPr>
                <w:sz w:val="24"/>
                <w:szCs w:val="24"/>
                <w:color w:val="auto"/>
              </w:rPr>
            </w:pPr>
          </w:p>
        </w:tc>
        <w:tc>
          <w:tcPr>
            <w:tcW w:w="58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Consent of Wilmer Cutler Pickering Hale and Dorr LLP (included in Exhibit 5.1)</w:t>
            </w:r>
          </w:p>
        </w:tc>
        <w:tc>
          <w:tcPr>
            <w:tcW w:w="4100" w:type="dxa"/>
            <w:vAlign w:val="bottom"/>
            <w:gridSpan w:val="17"/>
          </w:tcPr>
          <w:p>
            <w:pPr>
              <w:spacing w:after="0"/>
              <w:rPr>
                <w:sz w:val="24"/>
                <w:szCs w:val="24"/>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20" w:type="dxa"/>
            <w:vAlign w:val="bottom"/>
          </w:tcPr>
          <w:p>
            <w:pPr>
              <w:spacing w:after="0"/>
              <w:rPr>
                <w:sz w:val="24"/>
                <w:szCs w:val="24"/>
                <w:color w:val="auto"/>
              </w:rPr>
            </w:pPr>
          </w:p>
        </w:tc>
        <w:tc>
          <w:tcPr>
            <w:tcW w:w="6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Consent of EY Godkendt Revisionspartnerselskab, independent registered public accounting firm</w:t>
            </w:r>
          </w:p>
        </w:tc>
        <w:tc>
          <w:tcPr>
            <w:tcW w:w="2940" w:type="dxa"/>
            <w:vAlign w:val="bottom"/>
            <w:gridSpan w:val="13"/>
          </w:tcPr>
          <w:p>
            <w:pPr>
              <w:spacing w:after="0"/>
              <w:rPr>
                <w:sz w:val="24"/>
                <w:szCs w:val="24"/>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tcPr>
          <w:p>
            <w:pPr>
              <w:spacing w:after="0"/>
              <w:rPr>
                <w:sz w:val="24"/>
                <w:szCs w:val="24"/>
                <w:color w:val="auto"/>
              </w:rPr>
            </w:pPr>
          </w:p>
        </w:tc>
        <w:tc>
          <w:tcPr>
            <w:tcW w:w="99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pages of this registration statement)</w:t>
            </w: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600" w:type="dxa"/>
            <w:vAlign w:val="bottom"/>
            <w:gridSpan w:val="3"/>
            <w:shd w:val="clear" w:color="auto" w:fill="0000EE"/>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97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2026 Equity Incentive Plan (incorporated by reference to Exhibit 10.1 to Amendment No. 1 to the registrant’s Registration Statement on</w:t>
              </w:r>
            </w:hyperlink>
          </w:p>
        </w:tc>
        <w:tc>
          <w:tcPr>
            <w:tcW w:w="140" w:type="dxa"/>
            <w:vAlign w:val="bottom"/>
          </w:tcPr>
          <w:p>
            <w:pPr>
              <w:spacing w:after="0"/>
              <w:rPr>
                <w:sz w:val="24"/>
                <w:szCs w:val="24"/>
                <w:color w:val="auto"/>
              </w:rPr>
            </w:pPr>
          </w:p>
        </w:tc>
      </w:tr>
      <w:tr>
        <w:trPr>
          <w:trHeight w:val="194"/>
        </w:trPr>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8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Form S-1 (File No. 333-294989) filed with the Securities and Exchange Commission on April 27, 2026)</w:t>
              </w:r>
            </w:hyperlink>
          </w:p>
        </w:tc>
        <w:tc>
          <w:tcPr>
            <w:tcW w:w="2420" w:type="dxa"/>
            <w:vAlign w:val="bottom"/>
            <w:gridSpan w:val="11"/>
          </w:tcPr>
          <w:p>
            <w:pPr>
              <w:spacing w:after="0"/>
              <w:rPr>
                <w:sz w:val="16"/>
                <w:szCs w:val="16"/>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20" w:type="dxa"/>
            <w:vAlign w:val="bottom"/>
          </w:tcPr>
          <w:p>
            <w:pPr>
              <w:spacing w:after="0"/>
              <w:rPr>
                <w:sz w:val="24"/>
                <w:szCs w:val="24"/>
                <w:color w:val="auto"/>
              </w:rPr>
            </w:pPr>
          </w:p>
        </w:tc>
        <w:tc>
          <w:tcPr>
            <w:tcW w:w="94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2026 Employee Stock Purchase Plan (incorporated by reference to Exhibit 10.3 to Amendment No. 1 to the registrant’s Registration</w:t>
              </w:r>
            </w:hyperlink>
          </w:p>
        </w:tc>
        <w:tc>
          <w:tcPr>
            <w:tcW w:w="440" w:type="dxa"/>
            <w:vAlign w:val="bottom"/>
            <w:gridSpan w:val="4"/>
          </w:tcPr>
          <w:p>
            <w:pPr>
              <w:spacing w:after="0"/>
              <w:rPr>
                <w:sz w:val="24"/>
                <w:szCs w:val="24"/>
                <w:color w:val="auto"/>
              </w:rPr>
            </w:pPr>
          </w:p>
        </w:tc>
      </w:tr>
      <w:tr>
        <w:trPr>
          <w:trHeight w:val="194"/>
        </w:trPr>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6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Statement on Form S-1 (File No. 333-294989) filed with the Securities and Exchange Commission on April 27, 2026)</w:t>
              </w:r>
            </w:hyperlink>
          </w:p>
        </w:tc>
        <w:tc>
          <w:tcPr>
            <w:tcW w:w="1440" w:type="dxa"/>
            <w:vAlign w:val="bottom"/>
            <w:gridSpan w:val="10"/>
          </w:tcPr>
          <w:p>
            <w:pPr>
              <w:spacing w:after="0"/>
              <w:rPr>
                <w:sz w:val="16"/>
                <w:szCs w:val="16"/>
                <w:color w:val="auto"/>
              </w:rPr>
            </w:pPr>
          </w:p>
        </w:tc>
      </w:tr>
      <w:tr>
        <w:trPr>
          <w:trHeight w:val="30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99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880"/>
          </w:cols>
          <w:pgMar w:left="500" w:top="264"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9. Undertakings.</w:t>
      </w:r>
    </w:p>
    <w:p>
      <w:pPr>
        <w:spacing w:after="0" w:line="118" w:lineRule="exact"/>
        <w:rPr>
          <w:sz w:val="20"/>
          <w:szCs w:val="20"/>
          <w:color w:val="auto"/>
        </w:rPr>
      </w:pPr>
    </w:p>
    <w:p>
      <w:pPr>
        <w:ind w:left="180" w:hanging="170"/>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3" w:lineRule="exact"/>
        <w:rPr>
          <w:rFonts w:ascii="Times New Roman" w:cs="Times New Roman" w:eastAsia="Times New Roman" w:hAnsi="Times New Roman"/>
          <w:sz w:val="18"/>
          <w:szCs w:val="18"/>
          <w:color w:val="auto"/>
        </w:rPr>
      </w:pPr>
    </w:p>
    <w:p>
      <w:pPr>
        <w:ind w:left="680" w:hanging="252"/>
        <w:spacing w:after="0"/>
        <w:tabs>
          <w:tab w:leader="none" w:pos="6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1160" w:hanging="209"/>
        <w:spacing w:after="0"/>
        <w:tabs>
          <w:tab w:leader="none" w:pos="11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3" w:lineRule="exact"/>
        <w:rPr>
          <w:rFonts w:ascii="Times New Roman" w:cs="Times New Roman" w:eastAsia="Times New Roman" w:hAnsi="Times New Roman"/>
          <w:sz w:val="18"/>
          <w:szCs w:val="18"/>
          <w:color w:val="auto"/>
        </w:rPr>
      </w:pPr>
    </w:p>
    <w:p>
      <w:pPr>
        <w:ind w:right="160" w:firstLine="951"/>
        <w:spacing w:after="0" w:line="252" w:lineRule="auto"/>
        <w:tabs>
          <w:tab w:leader="none" w:pos="120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in the effective registration statement; and</w:t>
      </w:r>
    </w:p>
    <w:p>
      <w:pPr>
        <w:spacing w:after="0" w:line="81" w:lineRule="exact"/>
        <w:rPr>
          <w:rFonts w:ascii="Times New Roman" w:cs="Times New Roman" w:eastAsia="Times New Roman" w:hAnsi="Times New Roman"/>
          <w:sz w:val="18"/>
          <w:szCs w:val="18"/>
          <w:color w:val="auto"/>
        </w:rPr>
      </w:pPr>
    </w:p>
    <w:p>
      <w:pPr>
        <w:ind w:firstLine="951"/>
        <w:spacing w:after="0" w:line="277" w:lineRule="auto"/>
        <w:tabs>
          <w:tab w:leader="none" w:pos="1253"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(1)(i) and (ii)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70" w:lineRule="exact"/>
        <w:rPr>
          <w:sz w:val="20"/>
          <w:szCs w:val="20"/>
          <w:color w:val="auto"/>
        </w:rPr>
      </w:pPr>
    </w:p>
    <w:p>
      <w:pPr>
        <w:ind w:firstLine="428"/>
        <w:spacing w:after="0" w:line="262" w:lineRule="auto"/>
        <w:tabs>
          <w:tab w:leader="none" w:pos="6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70" w:lineRule="exact"/>
        <w:rPr>
          <w:rFonts w:ascii="Times New Roman" w:cs="Times New Roman" w:eastAsia="Times New Roman" w:hAnsi="Times New Roman"/>
          <w:sz w:val="18"/>
          <w:szCs w:val="18"/>
          <w:color w:val="auto"/>
        </w:rPr>
      </w:pPr>
    </w:p>
    <w:p>
      <w:pPr>
        <w:ind w:right="140" w:firstLine="428"/>
        <w:spacing w:after="0" w:line="277" w:lineRule="auto"/>
        <w:tabs>
          <w:tab w:leader="none" w:pos="6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6" w:lineRule="exact"/>
        <w:rPr>
          <w:rFonts w:ascii="Times New Roman" w:cs="Times New Roman" w:eastAsia="Times New Roman" w:hAnsi="Times New Roman"/>
          <w:sz w:val="18"/>
          <w:szCs w:val="18"/>
          <w:color w:val="auto"/>
        </w:rPr>
      </w:pPr>
    </w:p>
    <w:p>
      <w:pPr>
        <w:ind w:left="4980" w:hanging="104"/>
        <w:spacing w:after="0"/>
        <w:tabs>
          <w:tab w:leader="none" w:pos="4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400"/>
          </w:cols>
          <w:pgMar w:left="920" w:top="264" w:right="579" w:bottom="1440" w:gutter="0" w:footer="0" w:header="0"/>
        </w:sectPr>
      </w:pPr>
    </w:p>
    <w:bookmarkStart w:id="6" w:name="page7"/>
    <w:bookmarkEnd w:id="6"/>
    <w:p>
      <w:pPr>
        <w:ind w:left="-430" w:firstLine="430"/>
        <w:spacing w:after="0" w:line="255"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82" w:lineRule="exact"/>
        <w:rPr>
          <w:rFonts w:ascii="Times New Roman" w:cs="Times New Roman" w:eastAsia="Times New Roman" w:hAnsi="Times New Roman"/>
          <w:sz w:val="18"/>
          <w:szCs w:val="18"/>
          <w:color w:val="auto"/>
        </w:rPr>
      </w:pPr>
    </w:p>
    <w:p>
      <w:pPr>
        <w:ind w:left="-430" w:right="120" w:firstLine="430"/>
        <w:spacing w:after="0" w:line="252"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rFonts w:ascii="Times New Roman" w:cs="Times New Roman" w:eastAsia="Times New Roman" w:hAnsi="Times New Roman"/>
          <w:sz w:val="18"/>
          <w:szCs w:val="18"/>
          <w:color w:val="auto"/>
        </w:rPr>
      </w:pPr>
    </w:p>
    <w:p>
      <w:pPr>
        <w:ind w:left="4970" w:hanging="104"/>
        <w:spacing w:after="0"/>
        <w:tabs>
          <w:tab w:leader="none" w:pos="49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350"/>
          </w:cols>
          <w:pgMar w:left="930" w:top="268" w:right="619" w:bottom="1440" w:gutter="0" w:footer="0" w:header="0"/>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4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1st day of May, 2026.</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HEMAB THERAPEUTICS HOLDINGS, INC.</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Benny Sørensen,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Benny Sørensen, M.D., Ph.D.</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We, the undersigned officers and directors of Hemab Therapeutics Holdings, Inc., hereby severally constitute and appoint Benny Sørensen and Mads Behrndt,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Hemab Therapeutics Holdings,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9" w:lineRule="exact"/>
        <w:rPr>
          <w:sz w:val="20"/>
          <w:szCs w:val="20"/>
          <w:color w:val="auto"/>
        </w:rPr>
      </w:pPr>
    </w:p>
    <w:p>
      <w:pPr>
        <w:ind w:right="8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880" w:type="dxa"/>
            <w:vAlign w:val="bottom"/>
          </w:tcPr>
          <w:p>
            <w:pPr>
              <w:spacing w:after="0"/>
              <w:rPr>
                <w:sz w:val="14"/>
                <w:szCs w:val="14"/>
                <w:color w:val="auto"/>
              </w:rPr>
            </w:pPr>
          </w:p>
        </w:tc>
        <w:tc>
          <w:tcPr>
            <w:tcW w:w="4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6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4"/>
        </w:trPr>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Benny Sørensen, M.D., Ph.D.</w:t>
            </w:r>
          </w:p>
        </w:tc>
        <w:tc>
          <w:tcPr>
            <w:tcW w:w="18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President and Chief Executive Officer, Director</w:t>
            </w:r>
          </w:p>
        </w:tc>
        <w:tc>
          <w:tcPr>
            <w:tcW w:w="1460" w:type="dxa"/>
            <w:vAlign w:val="bottom"/>
            <w:gridSpan w:val="3"/>
          </w:tcPr>
          <w:p>
            <w:pPr>
              <w:jc w:val="center"/>
              <w:ind w:left="471"/>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Benny Sørensen, M.D., Ph.D.</w:t>
            </w:r>
          </w:p>
        </w:tc>
        <w:tc>
          <w:tcPr>
            <w:tcW w:w="1880" w:type="dxa"/>
            <w:vAlign w:val="bottom"/>
          </w:tcPr>
          <w:p>
            <w:pPr>
              <w:spacing w:after="0"/>
              <w:rPr>
                <w:sz w:val="19"/>
                <w:szCs w:val="19"/>
                <w:color w:val="auto"/>
              </w:rPr>
            </w:pPr>
          </w:p>
        </w:tc>
        <w:tc>
          <w:tcPr>
            <w:tcW w:w="4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15"/>
        </w:trPr>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Mads Behrndt, M.Sc.</w:t>
            </w:r>
          </w:p>
        </w:tc>
        <w:tc>
          <w:tcPr>
            <w:tcW w:w="18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Financial Officer (Principal financial and</w:t>
            </w:r>
          </w:p>
        </w:tc>
        <w:tc>
          <w:tcPr>
            <w:tcW w:w="1460" w:type="dxa"/>
            <w:vAlign w:val="bottom"/>
            <w:gridSpan w:val="3"/>
          </w:tcPr>
          <w:p>
            <w:pPr>
              <w:jc w:val="center"/>
              <w:ind w:left="471"/>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Mads Behrndt, M.Sc.</w:t>
            </w:r>
          </w:p>
        </w:tc>
        <w:tc>
          <w:tcPr>
            <w:tcW w:w="1880" w:type="dxa"/>
            <w:vAlign w:val="bottom"/>
          </w:tcPr>
          <w:p>
            <w:pPr>
              <w:spacing w:after="0"/>
              <w:rPr>
                <w:sz w:val="19"/>
                <w:szCs w:val="19"/>
                <w:color w:val="auto"/>
              </w:rPr>
            </w:pPr>
          </w:p>
        </w:tc>
        <w:tc>
          <w:tcPr>
            <w:tcW w:w="4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accounting officer)</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15"/>
        </w:trPr>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Maraganore, Ph.D.</w:t>
            </w:r>
          </w:p>
        </w:tc>
        <w:tc>
          <w:tcPr>
            <w:tcW w:w="18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Chair of the Board</w:t>
            </w:r>
          </w:p>
        </w:tc>
        <w:tc>
          <w:tcPr>
            <w:tcW w:w="1460" w:type="dxa"/>
            <w:vAlign w:val="bottom"/>
            <w:gridSpan w:val="3"/>
          </w:tcPr>
          <w:p>
            <w:pPr>
              <w:jc w:val="center"/>
              <w:ind w:left="471"/>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Maraganore, Ph.D.</w:t>
            </w:r>
          </w:p>
        </w:tc>
        <w:tc>
          <w:tcPr>
            <w:tcW w:w="1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15"/>
        </w:trPr>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Linda Catharina Bain</w:t>
            </w:r>
          </w:p>
        </w:tc>
        <w:tc>
          <w:tcPr>
            <w:tcW w:w="18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3"/>
          </w:tcPr>
          <w:p>
            <w:pPr>
              <w:jc w:val="center"/>
              <w:ind w:left="471"/>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Linda Catharina Bain</w:t>
            </w:r>
          </w:p>
        </w:tc>
        <w:tc>
          <w:tcPr>
            <w:tcW w:w="1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15"/>
        </w:trPr>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Laura Tadvalkar, Ph.D.</w:t>
            </w:r>
          </w:p>
        </w:tc>
        <w:tc>
          <w:tcPr>
            <w:tcW w:w="18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3"/>
          </w:tcPr>
          <w:p>
            <w:pPr>
              <w:jc w:val="center"/>
              <w:ind w:left="471"/>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Tadvalkar, Ph.D.</w:t>
            </w:r>
          </w:p>
        </w:tc>
        <w:tc>
          <w:tcPr>
            <w:tcW w:w="1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15"/>
        </w:trPr>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Akshay Vaishnaw, M.D., Ph.D.</w:t>
            </w:r>
          </w:p>
        </w:tc>
        <w:tc>
          <w:tcPr>
            <w:tcW w:w="188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3"/>
          </w:tcPr>
          <w:p>
            <w:pPr>
              <w:jc w:val="center"/>
              <w:ind w:left="471"/>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Akshay Vaishnaw, M.D., Ph.D.</w:t>
            </w:r>
          </w:p>
        </w:tc>
        <w:tc>
          <w:tcPr>
            <w:tcW w:w="1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716"/>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20" w:type="dxa"/>
            <w:vAlign w:val="bottom"/>
            <w:gridSpan w:val="2"/>
          </w:tcPr>
          <w:p>
            <w:pPr>
              <w:jc w:val="right"/>
              <w:ind w:right="713"/>
              <w:spacing w:after="0"/>
              <w:rPr>
                <w:sz w:val="20"/>
                <w:szCs w:val="20"/>
                <w:color w:val="auto"/>
              </w:rPr>
            </w:pPr>
            <w:r>
              <w:rPr>
                <w:rFonts w:ascii="Times New Roman" w:cs="Times New Roman" w:eastAsia="Times New Roman" w:hAnsi="Times New Roman"/>
                <w:sz w:val="18"/>
                <w:szCs w:val="18"/>
                <w:color w:val="auto"/>
              </w:rPr>
              <w:t>- 7 -</w:t>
            </w: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740"/>
          </w:cols>
          <w:pgMar w:left="500" w:top="264" w:right="6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171450</wp:posOffset>
            </wp:positionV>
            <wp:extent cx="1043305" cy="135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4330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+1 212 230 8800 (t)</w:t>
      </w:r>
    </w:p>
    <w:p>
      <w:pPr>
        <w:spacing w:after="0" w:line="26" w:lineRule="exact"/>
        <w:rPr>
          <w:sz w:val="20"/>
          <w:szCs w:val="20"/>
          <w:color w:val="auto"/>
        </w:rPr>
      </w:pPr>
    </w:p>
    <w:p>
      <w:pPr>
        <w:ind w:left="9466"/>
        <w:spacing w:after="0"/>
        <w:rPr>
          <w:sz w:val="20"/>
          <w:szCs w:val="20"/>
          <w:color w:val="auto"/>
        </w:rPr>
      </w:pPr>
      <w:r>
        <w:rPr>
          <w:rFonts w:ascii="Times New Roman" w:cs="Times New Roman" w:eastAsia="Times New Roman" w:hAnsi="Times New Roman"/>
          <w:sz w:val="17"/>
          <w:szCs w:val="17"/>
          <w:color w:val="auto"/>
        </w:rPr>
        <w:t>+1 212 230 8888 (f)</w:t>
      </w:r>
    </w:p>
    <w:p>
      <w:pPr>
        <w:spacing w:after="0" w:line="18" w:lineRule="exact"/>
        <w:rPr>
          <w:sz w:val="20"/>
          <w:szCs w:val="20"/>
          <w:color w:val="auto"/>
        </w:rPr>
      </w:pPr>
    </w:p>
    <w:p>
      <w:pPr>
        <w:ind w:left="9746"/>
        <w:spacing w:after="0"/>
        <w:rPr>
          <w:sz w:val="20"/>
          <w:szCs w:val="20"/>
          <w:color w:val="auto"/>
        </w:rPr>
      </w:pPr>
      <w:r>
        <w:rPr>
          <w:rFonts w:ascii="Times New Roman" w:cs="Times New Roman" w:eastAsia="Times New Roman" w:hAnsi="Times New Roman"/>
          <w:sz w:val="17"/>
          <w:szCs w:val="17"/>
          <w:color w:val="auto"/>
        </w:rPr>
        <w:t>wilmerhale.com</w:t>
      </w:r>
    </w:p>
    <w:p>
      <w:pPr>
        <w:spacing w:after="0" w:line="3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May 1, 2026</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Hemab Therapeutics Holdings, Inc.</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101 Main Street, Suite 1220</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228" w:lineRule="exact"/>
        <w:rPr>
          <w:sz w:val="20"/>
          <w:szCs w:val="20"/>
          <w:color w:val="auto"/>
        </w:rPr>
      </w:pPr>
    </w:p>
    <w:p>
      <w:pPr>
        <w:ind w:left="426"/>
        <w:spacing w:after="0"/>
        <w:tabs>
          <w:tab w:leader="none" w:pos="946"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Warrant Agreements</w:t>
      </w:r>
    </w:p>
    <w:p>
      <w:pPr>
        <w:spacing w:after="0" w:line="26"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2026 Equity Incentive Plan</w:t>
      </w:r>
    </w:p>
    <w:p>
      <w:pPr>
        <w:spacing w:after="0" w:line="7"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2026 Employee Stock Purchase Plan</w:t>
      </w:r>
    </w:p>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left="6" w:right="40" w:firstLine="436"/>
        <w:spacing w:after="0" w:line="266" w:lineRule="auto"/>
        <w:rPr>
          <w:sz w:val="20"/>
          <w:szCs w:val="20"/>
          <w:color w:val="auto"/>
        </w:rPr>
      </w:pPr>
      <w:r>
        <w:rPr>
          <w:rFonts w:ascii="Times New Roman" w:cs="Times New Roman" w:eastAsia="Times New Roman" w:hAnsi="Times New Roman"/>
          <w:sz w:val="17"/>
          <w:szCs w:val="17"/>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8,970,742 shares (the “Shares”) of common stock, $0.0001 par value per share (“Common Stock”), of Hemab Therapeutics Holdings, Inc., a Delaware corporation (the “Company”), consisting of (i) an aggregate of 4,362,116 shares of Common Stock issuable upon the exercise of warrants to acquire Common Stock that were outstanding immediately prior to the effectiveness of the Company’s Registration Statement on Form S-1 (File No. 333-294989) (the “Warrants”), (ii) an aggregate of 4,180,000 shares of Common Stock issuable under the Company’s 2026 Equity Incentive Plan (the “2026 Plan”) and</w:t>
      </w:r>
    </w:p>
    <w:p>
      <w:pPr>
        <w:spacing w:after="0" w:line="1" w:lineRule="exact"/>
        <w:rPr>
          <w:sz w:val="20"/>
          <w:szCs w:val="20"/>
          <w:color w:val="auto"/>
        </w:rPr>
      </w:pPr>
    </w:p>
    <w:p>
      <w:pPr>
        <w:ind w:left="6" w:right="500" w:hanging="6"/>
        <w:spacing w:after="0" w:line="255" w:lineRule="auto"/>
        <w:tabs>
          <w:tab w:leader="none" w:pos="3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418,000 shares of Common Stock issuable under the Company’s 2026 Employee Stock Purchase Plan (the “2026 ESPP” and, together with the “2026 Plan”, the “Plans”).</w:t>
      </w:r>
    </w:p>
    <w:p>
      <w:pPr>
        <w:spacing w:after="0" w:line="182" w:lineRule="exact"/>
        <w:rPr>
          <w:sz w:val="20"/>
          <w:szCs w:val="20"/>
          <w:color w:val="auto"/>
        </w:rPr>
      </w:pPr>
    </w:p>
    <w:p>
      <w:pPr>
        <w:ind w:left="6" w:right="240" w:firstLine="436"/>
        <w:spacing w:after="0" w:line="257" w:lineRule="auto"/>
        <w:rPr>
          <w:sz w:val="20"/>
          <w:szCs w:val="20"/>
          <w:color w:val="auto"/>
        </w:rPr>
      </w:pPr>
      <w:r>
        <w:rPr>
          <w:rFonts w:ascii="Times New Roman" w:cs="Times New Roman" w:eastAsia="Times New Roman" w:hAnsi="Times New Roman"/>
          <w:sz w:val="18"/>
          <w:szCs w:val="18"/>
          <w:color w:val="auto"/>
        </w:rPr>
        <w:t>We have examined the Certificate of Incorporation and the Bylaws of the Company, each as amended and/or restated to date, and originals, or copies certified to our satisfaction, of all pertinent records of the meetings of the board of directors and stockholders of the Company, the Registration Statement, the form of Warrants, the Plans and such other documents relating to the Company as we have deemed material for the purposes of this opinion.</w:t>
      </w:r>
    </w:p>
    <w:p>
      <w:pPr>
        <w:spacing w:after="0" w:line="182" w:lineRule="exact"/>
        <w:rPr>
          <w:sz w:val="20"/>
          <w:szCs w:val="20"/>
          <w:color w:val="auto"/>
        </w:rPr>
      </w:pPr>
    </w:p>
    <w:p>
      <w:pPr>
        <w:ind w:left="6" w:right="60" w:firstLine="436"/>
        <w:spacing w:after="0" w:line="262" w:lineRule="auto"/>
        <w:rPr>
          <w:sz w:val="20"/>
          <w:szCs w:val="20"/>
          <w:color w:val="auto"/>
        </w:rPr>
      </w:pPr>
      <w:r>
        <w:rPr>
          <w:rFonts w:ascii="Times New Roman" w:cs="Times New Roman" w:eastAsia="Times New Roman" w:hAnsi="Times New Roman"/>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77" w:lineRule="exact"/>
        <w:rPr>
          <w:sz w:val="20"/>
          <w:szCs w:val="20"/>
          <w:color w:val="auto"/>
        </w:rPr>
      </w:pPr>
    </w:p>
    <w:p>
      <w:pPr>
        <w:ind w:left="6" w:right="480" w:firstLine="436"/>
        <w:spacing w:after="0" w:line="277" w:lineRule="auto"/>
        <w:rPr>
          <w:sz w:val="20"/>
          <w:szCs w:val="20"/>
          <w:color w:val="auto"/>
        </w:rPr>
      </w:pPr>
      <w:r>
        <w:rPr>
          <w:rFonts w:ascii="Times New Roman" w:cs="Times New Roman" w:eastAsia="Times New Roman" w:hAnsi="Times New Roman"/>
          <w:sz w:val="18"/>
          <w:szCs w:val="18"/>
          <w:color w:val="auto"/>
        </w:rPr>
        <w:t>We assume that the appropriate action will be taken, prior to the offer and sale of the Shares in accordance with the Warrants or the Plans, as applicable, to register and qualify the Shares for sale under all applicable state securities or “blue sky” laws.</w:t>
      </w:r>
    </w:p>
    <w:p>
      <w:pPr>
        <w:spacing w:after="0" w:line="163"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109220</wp:posOffset>
            </wp:positionV>
            <wp:extent cx="5157470" cy="262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157470" cy="262890"/>
                    </a:xfrm>
                    <a:prstGeom prst="rect">
                      <a:avLst/>
                    </a:prstGeom>
                    <a:noFill/>
                  </pic:spPr>
                </pic:pic>
              </a:graphicData>
            </a:graphic>
          </wp:anchor>
        </w:drawing>
      </w:r>
    </w:p>
    <w:p>
      <w:pPr>
        <w:sectPr>
          <w:pgSz w:w="11900" w:h="16838" w:orient="portrait"/>
          <w:cols w:equalWidth="0" w:num="1">
            <w:col w:w="10906"/>
          </w:cols>
          <w:pgMar w:left="494" w:top="117"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May 1, 2026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-122555</wp:posOffset>
            </wp:positionV>
            <wp:extent cx="1043305" cy="135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043305" cy="135890"/>
                    </a:xfrm>
                    <a:prstGeom prst="rect">
                      <a:avLst/>
                    </a:prstGeom>
                    <a:noFill/>
                  </pic:spPr>
                </pic:pic>
              </a:graphicData>
            </a:graphic>
          </wp:anchor>
        </w:drawing>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It is understood that this opinion is to be used only in connection with the offer and sale of the Shares while the Registration Statement is in effect.</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w:t>
      </w:r>
    </w:p>
    <w:p>
      <w:pPr>
        <w:spacing w:after="0" w:line="220" w:lineRule="exact"/>
        <w:rPr>
          <w:sz w:val="20"/>
          <w:szCs w:val="20"/>
          <w:color w:val="auto"/>
        </w:rPr>
      </w:pPr>
    </w:p>
    <w:p>
      <w:pPr>
        <w:jc w:val="both"/>
        <w:ind w:right="40" w:firstLine="436"/>
        <w:spacing w:after="0" w:line="26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for issuance and, when the Shares are issued and paid for in accordance with the terms and conditions of the Warrants or the Plans, as applicable, including the payment of the exercise price therefor, the Shares will be validly issued, fully paid and nonassessable.</w:t>
      </w:r>
    </w:p>
    <w:p>
      <w:pPr>
        <w:spacing w:after="0" w:line="177" w:lineRule="exact"/>
        <w:rPr>
          <w:sz w:val="20"/>
          <w:szCs w:val="20"/>
          <w:color w:val="auto"/>
        </w:rPr>
      </w:pPr>
    </w:p>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15875</wp:posOffset>
            </wp:positionV>
            <wp:extent cx="27654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WILMER CUTLER PICKERING HALE AND DORR LLP</w:t>
      </w:r>
    </w:p>
    <w:p>
      <w:pPr>
        <w:sectPr>
          <w:pgSz w:w="11900" w:h="16838" w:orient="portrait"/>
          <w:cols w:equalWidth="0" w:num="1">
            <w:col w:w="10860"/>
          </w:cols>
          <w:pgMar w:left="500" w:top="268" w:right="5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2026 Equity Incentive Plan and the 2026 Employee Stock Purchase Plan of Hemab Therapeutics Holdings, Inc. of our report dated February 27, 2026 (except for Note 16(a), as to which the date is April 10, 2026, and Note 16(b) and (c), as to which the date is April 27, 2026), with respect to the consolidated financial statements of Hemab ApS included in the registration statement on Form S-1 (File No. 333-294989), as amended, filed with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 Godkendt Revisionspartnerselskab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Copenhagen, Denmark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ectPr>
          <w:pgSz w:w="11900" w:h="16838" w:orient="portrait"/>
          <w:cols w:equalWidth="0" w:num="1">
            <w:col w:w="10900"/>
          </w:cols>
          <w:pgMar w:left="500" w:top="117" w:right="499" w:bottom="1440" w:gutter="0" w:footer="0" w:header="0"/>
        </w:sectPr>
      </w:pPr>
    </w:p>
    <w:bookmarkStart w:id="11" w:name="page12"/>
    <w:bookmarkEnd w:id="11"/>
    <w:p>
      <w:pPr>
        <w:spacing w:after="0" w:line="62" w:lineRule="exact"/>
        <w:rPr>
          <w:sz w:val="20"/>
          <w:szCs w:val="20"/>
          <w:color w:val="auto"/>
        </w:rPr>
      </w:pPr>
    </w:p>
    <w:p>
      <w:pPr>
        <w:ind w:left="290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8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40"/>
        <w:spacing w:after="0"/>
        <w:rPr>
          <w:sz w:val="20"/>
          <w:szCs w:val="20"/>
          <w:color w:val="auto"/>
        </w:rPr>
      </w:pPr>
      <w:r>
        <w:rPr>
          <w:rFonts w:ascii="Arial" w:cs="Arial" w:eastAsia="Arial" w:hAnsi="Arial"/>
          <w:sz w:val="36"/>
          <w:szCs w:val="36"/>
          <w:b w:val="1"/>
          <w:bCs w:val="1"/>
          <w:color w:val="auto"/>
        </w:rPr>
        <w:t>Hemab Therapeutics Holdings, Inc.</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9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$0.0001</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4,291,100</w:t>
            </w:r>
          </w:p>
        </w:tc>
        <w:tc>
          <w:tcPr>
            <w:tcW w:w="4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$ 31.78</w:t>
            </w: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$ 18,832.86</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136,371,158.00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1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1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306,900</w:t>
            </w:r>
          </w:p>
        </w:tc>
        <w:tc>
          <w:tcPr>
            <w:tcW w:w="40" w:type="dxa"/>
            <w:vAlign w:val="bottom"/>
          </w:tcPr>
          <w:p>
            <w:pPr>
              <w:spacing w:after="0"/>
              <w:rPr>
                <w:sz w:val="20"/>
                <w:szCs w:val="20"/>
                <w:color w:val="auto"/>
              </w:rPr>
            </w:pPr>
          </w:p>
        </w:tc>
        <w:tc>
          <w:tcPr>
            <w:tcW w:w="13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$ 18.00</w:t>
            </w: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$ 5,524,200.00</w:t>
            </w:r>
          </w:p>
        </w:tc>
        <w:tc>
          <w:tcPr>
            <w:tcW w:w="20" w:type="dxa"/>
            <w:vAlign w:val="bottom"/>
          </w:tcPr>
          <w:p>
            <w:pPr>
              <w:spacing w:after="0"/>
              <w:rPr>
                <w:sz w:val="20"/>
                <w:szCs w:val="20"/>
                <w:color w:val="auto"/>
              </w:rPr>
            </w:pPr>
          </w:p>
        </w:tc>
        <w:tc>
          <w:tcPr>
            <w:tcW w:w="106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4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$ 762.90</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$0.0001</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4,362,116</w:t>
            </w:r>
          </w:p>
        </w:tc>
        <w:tc>
          <w:tcPr>
            <w:tcW w:w="4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$ 5.84</w:t>
            </w: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$ 3,518.07</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25,474,757.44</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$ 23,113.83</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167,370,115.44</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$ 23,113.83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40" w:right="700" w:hanging="225"/>
        <w:spacing w:after="0" w:line="236" w:lineRule="auto"/>
        <w:tabs>
          <w:tab w:leader="none" w:pos="840" w:val="left"/>
        </w:tabs>
        <w:numPr>
          <w:ilvl w:val="0"/>
          <w:numId w:val="6"/>
        </w:numPr>
        <w:rPr>
          <w:rFonts w:ascii="Arial" w:cs="Arial" w:eastAsia="Arial" w:hAnsi="Arial"/>
          <w:sz w:val="27"/>
          <w:szCs w:val="27"/>
          <w:color w:val="auto"/>
          <w:vertAlign w:val="superscript"/>
        </w:rPr>
      </w:pPr>
      <w:r>
        <w:rPr>
          <w:rFonts w:ascii="Arial" w:cs="Arial" w:eastAsia="Arial" w:hAnsi="Arial"/>
          <w:sz w:val="21"/>
          <w:szCs w:val="21"/>
          <w:color w:val="auto"/>
        </w:rPr>
        <w:t>(A)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(B) Consists of (i) 3,873,100 shares issuable under the registrant's 2026 Equity Incentive Plan (the "2026 Plan") and (ii) 418,000 shares issuable under the registrant's 2026 Employee Stock Purchase Plan. (C) Estimated solely for the purpose of calculating the registration fee pursuant to Rules 457(c) and 457(h) of the Securities Act. The proposed maximum offering price per share is based on $31.78 per share, which is the average of the high and low sales prices of the registrant's common stock as reported on the Nasdaq Global Select Market on 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80010</wp:posOffset>
            </wp:positionV>
            <wp:extent cx="63874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6" w:lineRule="exact"/>
        <w:rPr>
          <w:sz w:val="20"/>
          <w:szCs w:val="20"/>
          <w:color w:val="auto"/>
        </w:rPr>
      </w:pPr>
    </w:p>
    <w:p>
      <w:pPr>
        <w:ind w:left="840" w:right="900" w:hanging="225"/>
        <w:spacing w:after="0" w:line="233" w:lineRule="auto"/>
        <w:tabs>
          <w:tab w:leader="none" w:pos="840" w:val="left"/>
        </w:tabs>
        <w:numPr>
          <w:ilvl w:val="0"/>
          <w:numId w:val="7"/>
        </w:numPr>
        <w:rPr>
          <w:rFonts w:ascii="Arial" w:cs="Arial" w:eastAsia="Arial" w:hAnsi="Arial"/>
          <w:sz w:val="27"/>
          <w:szCs w:val="27"/>
          <w:color w:val="auto"/>
          <w:vertAlign w:val="superscript"/>
        </w:rPr>
      </w:pPr>
      <w:r>
        <w:rPr>
          <w:rFonts w:ascii="Arial" w:cs="Arial" w:eastAsia="Arial" w:hAnsi="Arial"/>
          <w:sz w:val="21"/>
          <w:szCs w:val="21"/>
          <w:color w:val="auto"/>
        </w:rPr>
        <w:t>(A) See Note 1(A). (B) Consists of 306,900 shares issuable upon the exercise of stock options to acquire common stock granted under the 2026 Plan (the "Outstanding Options"). (C) Estimated solely for the purpose of calculating the registration fee pursuant to Rule 457(h) of the Securities Act. The proposed maximum offering price per share is based on $18.00 per share, which is the exercise price of the 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82550</wp:posOffset>
            </wp:positionV>
            <wp:extent cx="63874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90" w:lineRule="exact"/>
        <w:rPr>
          <w:sz w:val="20"/>
          <w:szCs w:val="20"/>
          <w:color w:val="auto"/>
        </w:rPr>
      </w:pPr>
    </w:p>
    <w:p>
      <w:pPr>
        <w:ind w:left="840" w:right="800" w:hanging="225"/>
        <w:spacing w:after="0" w:line="224" w:lineRule="auto"/>
        <w:tabs>
          <w:tab w:leader="none" w:pos="840" w:val="left"/>
        </w:tabs>
        <w:numPr>
          <w:ilvl w:val="0"/>
          <w:numId w:val="8"/>
        </w:numPr>
        <w:rPr>
          <w:rFonts w:ascii="Arial" w:cs="Arial" w:eastAsia="Arial" w:hAnsi="Arial"/>
          <w:sz w:val="27"/>
          <w:szCs w:val="27"/>
          <w:color w:val="auto"/>
          <w:vertAlign w:val="superscript"/>
        </w:rPr>
      </w:pPr>
      <w:r>
        <w:rPr>
          <w:rFonts w:ascii="Arial" w:cs="Arial" w:eastAsia="Arial" w:hAnsi="Arial"/>
          <w:sz w:val="21"/>
          <w:szCs w:val="21"/>
          <w:color w:val="auto"/>
        </w:rPr>
        <w:t>(A) See Note 1(A). (B) Consists of 4,362,116 shares issuable upon the exercise of warrants to acquire common stock that were outstanding immediately prior to the effectiveness of the registrant's Registration Statement on Form S-1 (File No. 333-294989), as amended (the "Outstanding Warrants").</w:t>
      </w:r>
    </w:p>
    <w:p>
      <w:pPr>
        <w:ind w:left="840" w:right="920"/>
        <w:spacing w:after="0" w:line="248" w:lineRule="auto"/>
        <w:rPr>
          <w:rFonts w:ascii="Arial" w:cs="Arial" w:eastAsia="Arial" w:hAnsi="Arial"/>
          <w:sz w:val="27"/>
          <w:szCs w:val="27"/>
          <w:color w:val="auto"/>
          <w:vertAlign w:val="superscript"/>
        </w:rPr>
      </w:pPr>
      <w:r>
        <w:rPr>
          <w:rFonts w:ascii="Arial" w:cs="Arial" w:eastAsia="Arial" w:hAnsi="Arial"/>
          <w:sz w:val="21"/>
          <w:szCs w:val="21"/>
          <w:color w:val="auto"/>
        </w:rPr>
        <w:t>(C) Estimated solely for the purpose of calculating the registration fee pursuant to Rule 457(h) of the Securities Act. The proposed maximum offering price per share is based on $5.84 per share, which is the weighted average exercise price of the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75565</wp:posOffset>
            </wp:positionV>
            <wp:extent cx="63874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376"/>
        </w:trPr>
        <w:tc>
          <w:tcPr>
            <w:tcW w:w="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2"/>
          </w:tcPr>
          <w:p>
            <w:pPr>
              <w:spacing w:after="0"/>
              <w:rPr>
                <w:sz w:val="20"/>
                <w:szCs w:val="20"/>
                <w:color w:val="auto"/>
              </w:rPr>
            </w:pPr>
            <w:r>
              <w:rPr>
                <w:rFonts w:ascii="Arial" w:cs="Arial" w:eastAsia="Arial" w:hAnsi="Arial"/>
                <w:sz w:val="21"/>
                <w:szCs w:val="21"/>
                <w:b w:val="1"/>
                <w:bCs w:val="1"/>
                <w:color w:val="auto"/>
              </w:rPr>
              <w:t>Table 2: Fee Offset Claims and Sources</w:t>
            </w: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60" w:type="dxa"/>
            <w:vAlign w:val="bottom"/>
            <w:tcBorders>
              <w:right w:val="single" w:sz="8" w:color="9ADAF6"/>
            </w:tcBorders>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Registrant</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19"/>
                <w:szCs w:val="19"/>
                <w:color w:val="auto"/>
              </w:rPr>
            </w:pPr>
          </w:p>
        </w:tc>
        <w:tc>
          <w:tcPr>
            <w:tcW w:w="84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Filing</w:t>
            </w:r>
          </w:p>
        </w:tc>
        <w:tc>
          <w:tcPr>
            <w:tcW w:w="40" w:type="dxa"/>
            <w:vAlign w:val="bottom"/>
          </w:tcPr>
          <w:p>
            <w:pPr>
              <w:spacing w:after="0"/>
              <w:rPr>
                <w:sz w:val="19"/>
                <w:szCs w:val="19"/>
                <w:color w:val="auto"/>
              </w:rPr>
            </w:pPr>
          </w:p>
        </w:tc>
        <w:tc>
          <w:tcPr>
            <w:tcW w:w="86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19"/>
                <w:szCs w:val="19"/>
                <w:color w:val="auto"/>
              </w:rPr>
            </w:pPr>
          </w:p>
        </w:tc>
        <w:tc>
          <w:tcPr>
            <w:tcW w:w="116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19"/>
                <w:szCs w:val="19"/>
                <w:color w:val="auto"/>
              </w:rPr>
            </w:pPr>
          </w:p>
        </w:tc>
        <w:tc>
          <w:tcPr>
            <w:tcW w:w="116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19"/>
                <w:szCs w:val="19"/>
                <w:color w:val="auto"/>
              </w:rPr>
            </w:pPr>
          </w:p>
        </w:tc>
        <w:tc>
          <w:tcPr>
            <w:tcW w:w="118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19"/>
                <w:szCs w:val="19"/>
                <w:color w:val="auto"/>
              </w:rPr>
            </w:pPr>
          </w:p>
        </w:tc>
        <w:tc>
          <w:tcPr>
            <w:tcW w:w="1180" w:type="dxa"/>
            <w:vAlign w:val="bottom"/>
            <w:shd w:val="clear" w:color="auto" w:fill="9ADAF6"/>
          </w:tcPr>
          <w:p>
            <w:pPr>
              <w:ind w:left="220"/>
              <w:spacing w:after="0" w:line="226"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19"/>
                <w:szCs w:val="19"/>
                <w:color w:val="auto"/>
              </w:rPr>
            </w:pPr>
          </w:p>
        </w:tc>
        <w:tc>
          <w:tcPr>
            <w:tcW w:w="76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40" w:type="dxa"/>
            <w:vAlign w:val="bottom"/>
          </w:tcPr>
          <w:p>
            <w:pPr>
              <w:spacing w:after="0"/>
              <w:rPr>
                <w:sz w:val="20"/>
                <w:szCs w:val="20"/>
                <w:color w:val="auto"/>
              </w:rPr>
            </w:pPr>
          </w:p>
        </w:tc>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ind w:left="60"/>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1180" w:type="dxa"/>
            <w:vAlign w:val="bottom"/>
            <w:shd w:val="clear" w:color="auto" w:fill="9ADAF6"/>
          </w:tcPr>
          <w:p>
            <w:pPr>
              <w:ind w:left="160"/>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w:t>
            </w:r>
          </w:p>
        </w:tc>
        <w:tc>
          <w:tcPr>
            <w:tcW w:w="80" w:type="dxa"/>
            <w:vAlign w:val="bottom"/>
            <w:tcBorders>
              <w:right w:val="single" w:sz="8" w:color="auto"/>
            </w:tcBorders>
          </w:tcPr>
          <w:p>
            <w:pPr>
              <w:spacing w:after="0"/>
              <w:rPr>
                <w:sz w:val="20"/>
                <w:szCs w:val="20"/>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60" w:type="dxa"/>
            <w:vAlign w:val="bottom"/>
            <w:tcBorders>
              <w:right w:val="single" w:sz="8" w:color="9ADAF6"/>
            </w:tcBorders>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ind w:left="180"/>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4"/>
                <w:szCs w:val="24"/>
                <w:color w:val="auto"/>
              </w:rPr>
            </w:pPr>
          </w:p>
        </w:tc>
      </w:tr>
      <w:tr>
        <w:trPr>
          <w:trHeight w:val="143"/>
        </w:trPr>
        <w:tc>
          <w:tcPr>
            <w:tcW w:w="40" w:type="dxa"/>
            <w:vAlign w:val="bottom"/>
            <w:tcBorders>
              <w:left w:val="single" w:sz="8" w:color="auto"/>
            </w:tcBorders>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60" w:type="dxa"/>
            <w:vAlign w:val="bottom"/>
            <w:tcBorders>
              <w:right w:val="single" w:sz="8" w:color="9ADAF6"/>
            </w:tcBorders>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r>
    </w:tbl>
    <w:p>
      <w:pPr>
        <w:sectPr>
          <w:pgSz w:w="11900" w:h="16900" w:orient="portrait"/>
          <w:cols w:equalWidth="0" w:num="1">
            <w:col w:w="11340"/>
          </w:cols>
          <w:pgMar w:left="320" w:top="142" w:right="239" w:bottom="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98360" cy="1817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98360" cy="1817370"/>
                    </a:xfrm>
                    <a:prstGeom prst="rect">
                      <a:avLst/>
                    </a:prstGeom>
                    <a:noFill/>
                  </pic:spPr>
                </pic:pic>
              </a:graphicData>
            </a:graphic>
          </wp:anchor>
        </w:drawing>
      </w:r>
    </w:p>
    <w:tbl>
      <w:tblPr>
        <w:tblLayout w:type="fixed"/>
        <w:tblInd w:w="476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21"/>
                <w:szCs w:val="21"/>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1"/>
                <w:szCs w:val="21"/>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r>
      <w:tr>
        <w:trPr>
          <w:trHeight w:val="307"/>
        </w:trPr>
        <w:tc>
          <w:tcPr>
            <w:tcW w:w="2060" w:type="dxa"/>
            <w:vAlign w:val="bottom"/>
            <w:gridSpan w:val="3"/>
          </w:tcPr>
          <w:p>
            <w:pPr>
              <w:ind w:left="280"/>
              <w:spacing w:after="0"/>
              <w:rPr>
                <w:sz w:val="20"/>
                <w:szCs w:val="20"/>
                <w:color w:val="auto"/>
              </w:rPr>
            </w:pPr>
            <w:r>
              <w:rPr>
                <w:rFonts w:ascii="Arial" w:cs="Arial" w:eastAsia="Arial" w:hAnsi="Arial"/>
                <w:sz w:val="21"/>
                <w:szCs w:val="21"/>
                <w:b w:val="1"/>
                <w:bCs w:val="1"/>
                <w:color w:val="auto"/>
              </w:rPr>
              <w:t>Rule 457(p)</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Sources</w:t>
      </w:r>
    </w:p>
    <w:sectPr>
      <w:pgSz w:w="11900" w:h="16838" w:orient="portrait"/>
      <w:cols w:equalWidth="0" w:num="1">
        <w:col w:w="11220"/>
      </w:cols>
      <w:pgMar w:left="380" w:top="11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2">
    <w:nsid w:val="3D1B58BA"/>
    <w:multiLevelType w:val="hybridMultilevel"/>
    <w:lvl w:ilvl="0">
      <w:lvlJc w:val="left"/>
      <w:lvlText w:val="(%1)"/>
      <w:numFmt w:val="decimal"/>
      <w:start w:val="2"/>
    </w:lvl>
    <w:lvl w:ilvl="1">
      <w:lvlJc w:val="left"/>
      <w:lvlText w:val="-"/>
      <w:numFmt w:val="bullet"/>
      <w:start w:val="1"/>
    </w:lvl>
  </w:abstractNum>
  <w:abstractNum w:abstractNumId="3">
    <w:nsid w:val="507ED7AB"/>
    <w:multiLevelType w:val="hybridMultilevel"/>
    <w:lvl w:ilvl="0">
      <w:lvlJc w:val="left"/>
      <w:lvlText w:val="%1."/>
      <w:numFmt w:val="decimal"/>
      <w:start w:val="2"/>
    </w:lvl>
    <w:lvl w:ilvl="1">
      <w:lvlJc w:val="left"/>
      <w:lvlText w:val="-"/>
      <w:numFmt w:val="bullet"/>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jpeg"/><Relationship Id="rId35" Type="http://schemas.openxmlformats.org/officeDocument/2006/relationships/image" Target="media/image18.jpeg"/><Relationship Id="rId36" Type="http://schemas.openxmlformats.org/officeDocument/2006/relationships/image" Target="media/image19.png"/><Relationship Id="rId37" Type="http://schemas.openxmlformats.org/officeDocument/2006/relationships/image" Target="media/image20.jpe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17" Type="http://schemas.openxmlformats.org/officeDocument/2006/relationships/hyperlink" Target="http://www.sec.gov/Archives/edgar/data/2114044/000119312526197828/d133636ds1mef.htm" TargetMode="External"/><Relationship Id="rId18" Type="http://schemas.openxmlformats.org/officeDocument/2006/relationships/hyperlink" Target="http://www.sec.gov/Archives/edgar/data/2114044/000119312526181893/d246501d8a12b.htm" TargetMode="External"/><Relationship Id="rId22" Type="http://schemas.openxmlformats.org/officeDocument/2006/relationships/hyperlink" Target="http://www.sec.gov/Archives/edgar/data/2114044/000119312526151378/d50309dex31.htm" TargetMode="External"/><Relationship Id="rId23" Type="http://schemas.openxmlformats.org/officeDocument/2006/relationships/hyperlink" Target="http://www.sec.gov/Archives/edgar/data/2114044/000119312526178809/d50309dex35.htm" TargetMode="External"/><Relationship Id="rId24" Type="http://schemas.openxmlformats.org/officeDocument/2006/relationships/hyperlink" Target="http://www.sec.gov/Archives/edgar/data/2114044/000119312526151378/d50309dex32.htm" TargetMode="External"/><Relationship Id="rId25" Type="http://schemas.openxmlformats.org/officeDocument/2006/relationships/hyperlink" Target="http://www.sec.gov/Archives/edgar/data/2114044/000119312526178809/d50309dex33.htm" TargetMode="External"/><Relationship Id="rId26" Type="http://schemas.openxmlformats.org/officeDocument/2006/relationships/hyperlink" Target="http://www.sec.gov/Archives/edgar/data/2114044/000119312526178809/d50309dex34.htm" TargetMode="External"/><Relationship Id="rId27" Type="http://schemas.openxmlformats.org/officeDocument/2006/relationships/hyperlink" Target="http://www.sec.gov/Archives/edgar/data/2114044/000119312526151378/d50309dex42.htm" TargetMode="External"/><Relationship Id="rId28" Type="http://schemas.openxmlformats.org/officeDocument/2006/relationships/hyperlink" Target="http://www.sec.gov/Archives/edgar/data/2114044/000119312526178809/d50309dex101.htm" TargetMode="External"/><Relationship Id="rId29" Type="http://schemas.openxmlformats.org/officeDocument/2006/relationships/hyperlink" Target="http://www.sec.gov/Archives/edgar/data/2114044/000119312526178809/d5030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2026-05-04T05:13:05Z</dcterms:created>
  <dcterms:modified xsi:type="dcterms:W3CDTF">2026-05-04T05:13:05Z</dcterms:modified>
</cp:coreProperties>
</file>