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 CAPITAL MANAGEMENT,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35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Hemab Therapeutics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COAG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00" w:type="dxa"/>
            <w:vAlign w:val="bottom"/>
            <w:gridSpan w:val="2"/>
            <w:vMerge w:val="continue"/>
          </w:tcPr>
          <w:p>
            <w:pPr>
              <w:spacing w:after="0"/>
              <w:rPr>
                <w:sz w:val="8"/>
                <w:szCs w:val="8"/>
                <w:color w:val="auto"/>
              </w:rPr>
            </w:pPr>
          </w:p>
        </w:tc>
        <w:tc>
          <w:tcPr>
            <w:tcW w:w="3620" w:type="dxa"/>
            <w:vAlign w:val="bottom"/>
            <w:gridSpan w:val="2"/>
            <w:vMerge w:val="continue"/>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05/19/2026</w:t>
            </w: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43"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 w:type="dxa"/>
            <w:vAlign w:val="bottom"/>
          </w:tcPr>
          <w:p>
            <w:pPr>
              <w:spacing w:after="0"/>
              <w:rPr>
                <w:sz w:val="13"/>
                <w:szCs w:val="13"/>
                <w:color w:val="auto"/>
              </w:rPr>
            </w:pP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5"/>
          </w:tcPr>
          <w:p>
            <w:pPr>
              <w:ind w:left="220"/>
              <w:spacing w:after="0"/>
              <w:rPr>
                <w:sz w:val="20"/>
                <w:szCs w:val="20"/>
                <w:color w:val="auto"/>
              </w:rPr>
            </w:pPr>
            <w:r>
              <w:rPr>
                <w:rFonts w:ascii="Arial" w:cs="Arial" w:eastAsia="Arial" w:hAnsi="Arial"/>
                <w:sz w:val="12"/>
                <w:szCs w:val="12"/>
                <w:b w:val="1"/>
                <w:bCs w:val="1"/>
                <w:color w:val="auto"/>
              </w:rPr>
              <w:t>2A. Deemed</w:t>
            </w:r>
          </w:p>
        </w:tc>
        <w:tc>
          <w:tcPr>
            <w:tcW w:w="240" w:type="dxa"/>
            <w:vAlign w:val="bottom"/>
            <w:gridSpan w:val="2"/>
          </w:tcPr>
          <w:p>
            <w:pPr>
              <w:ind w:left="120"/>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204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2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600" w:type="dxa"/>
            <w:vAlign w:val="bottom"/>
            <w:tcBorders>
              <w:top w:val="single" w:sz="8" w:color="2C2C2C"/>
            </w:tcBorders>
            <w:gridSpan w:val="2"/>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vMerge w:val="continue"/>
          </w:tcPr>
          <w:p>
            <w:pPr>
              <w:spacing w:after="0"/>
              <w:rPr>
                <w:sz w:val="13"/>
                <w:szCs w:val="13"/>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gridSpan w:val="2"/>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140" w:type="dxa"/>
            <w:vAlign w:val="bottom"/>
            <w:gridSpan w:val="4"/>
            <w:vMerge w:val="restart"/>
          </w:tcPr>
          <w:p>
            <w:pPr>
              <w:ind w:left="340"/>
              <w:spacing w:after="0"/>
              <w:rPr>
                <w:sz w:val="20"/>
                <w:szCs w:val="20"/>
                <w:color w:val="auto"/>
              </w:rPr>
            </w:pPr>
            <w:r>
              <w:rPr>
                <w:rFonts w:ascii="Times New Roman" w:cs="Times New Roman" w:eastAsia="Times New Roman" w:hAnsi="Times New Roman"/>
                <w:sz w:val="17"/>
                <w:szCs w:val="17"/>
                <w:color w:val="0000FF"/>
              </w:rPr>
              <w:t>05/19/2026</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700" w:type="dxa"/>
            <w:vAlign w:val="bottom"/>
            <w:vMerge w:val="restart"/>
          </w:tcPr>
          <w:p>
            <w:pPr>
              <w:jc w:val="right"/>
              <w:ind w:right="52"/>
              <w:spacing w:after="0"/>
              <w:rPr>
                <w:sz w:val="20"/>
                <w:szCs w:val="20"/>
                <w:color w:val="auto"/>
              </w:rPr>
            </w:pPr>
            <w:r>
              <w:rPr>
                <w:rFonts w:ascii="Times New Roman" w:cs="Times New Roman" w:eastAsia="Times New Roman" w:hAnsi="Times New Roman"/>
                <w:sz w:val="17"/>
                <w:szCs w:val="17"/>
                <w:color w:val="0000FF"/>
              </w:rPr>
              <w:t>3,802</w:t>
            </w:r>
          </w:p>
        </w:tc>
        <w:tc>
          <w:tcPr>
            <w:tcW w:w="220" w:type="dxa"/>
            <w:vAlign w:val="bottom"/>
          </w:tcPr>
          <w:p>
            <w:pPr>
              <w:spacing w:after="0"/>
              <w:rPr>
                <w:sz w:val="21"/>
                <w:szCs w:val="21"/>
                <w:color w:val="auto"/>
              </w:rPr>
            </w:pP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vMerge w:val="restart"/>
          </w:tcPr>
          <w:p>
            <w:pP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24.97</w:t>
            </w:r>
            <w:r>
              <w:rPr>
                <w:rFonts w:ascii="Times New Roman" w:cs="Times New Roman" w:eastAsia="Times New Roman" w:hAnsi="Times New Roman"/>
                <w:sz w:val="22"/>
                <w:szCs w:val="22"/>
                <w:color w:val="008000"/>
                <w:w w:val="98"/>
                <w:vertAlign w:val="superscript"/>
              </w:rPr>
              <w:t>(1)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6,375,972</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gridSpan w:val="4"/>
            <w:vMerge w:val="continue"/>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4"/>
            <w:vMerge w:val="restart"/>
          </w:tcPr>
          <w:p>
            <w:pPr>
              <w:ind w:left="340"/>
              <w:spacing w:after="0"/>
              <w:rPr>
                <w:sz w:val="20"/>
                <w:szCs w:val="20"/>
                <w:color w:val="auto"/>
              </w:rPr>
            </w:pPr>
            <w:r>
              <w:rPr>
                <w:rFonts w:ascii="Times New Roman" w:cs="Times New Roman" w:eastAsia="Times New Roman" w:hAnsi="Times New Roman"/>
                <w:sz w:val="17"/>
                <w:szCs w:val="17"/>
                <w:color w:val="0000FF"/>
              </w:rPr>
              <w:t>05/20/2026</w:t>
            </w: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700" w:type="dxa"/>
            <w:vAlign w:val="bottom"/>
            <w:tcBorders>
              <w:top w:val="single" w:sz="8" w:color="2C2C2C"/>
            </w:tcBorders>
            <w:vMerge w:val="restart"/>
          </w:tcPr>
          <w:p>
            <w:pPr>
              <w:jc w:val="right"/>
              <w:ind w:right="112"/>
              <w:spacing w:after="0"/>
              <w:rPr>
                <w:sz w:val="20"/>
                <w:szCs w:val="20"/>
                <w:color w:val="auto"/>
              </w:rPr>
            </w:pPr>
            <w:r>
              <w:rPr>
                <w:rFonts w:ascii="Times New Roman" w:cs="Times New Roman" w:eastAsia="Times New Roman" w:hAnsi="Times New Roman"/>
                <w:sz w:val="17"/>
                <w:szCs w:val="17"/>
                <w:color w:val="0000FF"/>
              </w:rPr>
              <w:t>996</w:t>
            </w:r>
          </w:p>
        </w:tc>
        <w:tc>
          <w:tcPr>
            <w:tcW w:w="2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24.94</w:t>
            </w:r>
            <w:r>
              <w:rPr>
                <w:rFonts w:ascii="Times New Roman" w:cs="Times New Roman" w:eastAsia="Times New Roman" w:hAnsi="Times New Roman"/>
                <w:sz w:val="22"/>
                <w:szCs w:val="22"/>
                <w:color w:val="008000"/>
                <w:w w:val="98"/>
                <w:vertAlign w:val="superscript"/>
              </w:rPr>
              <w:t>(4)</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6,376,968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gridSpan w:val="4"/>
            <w:vMerge w:val="continue"/>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1,009,052</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354,938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560" w:type="dxa"/>
            <w:vAlign w:val="bottom"/>
            <w:gridSpan w:val="21"/>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80" w:type="dxa"/>
            <w:vAlign w:val="bottom"/>
            <w:gridSpan w:val="17"/>
          </w:tcPr>
          <w:p>
            <w:pPr>
              <w:ind w:left="3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4"/>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2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22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RA CAPITAL MANAGEMENT,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200 BERKELEY STREET, 18TH FLOOR</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02116</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RA Capital Healthcare Fund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-4100195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RA CAPITAL MANAGEMENT, L.P.</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BERKELEY STREET, 18TH FLOOR</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5"/>
        </w:trPr>
        <w:tc>
          <w:tcPr>
            <w:tcW w:w="11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Kolchinsky Peter</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42945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9240" cy="429450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7"/>
          <w:szCs w:val="17"/>
          <w:color w:val="0000FF"/>
        </w:rPr>
        <w:t>C/O RA CAPITAL MANAGEMENT,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400" w:type="dxa"/>
            <w:vAlign w:val="bottom"/>
            <w:gridSpan w:val="2"/>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Shah Rajeev M.</w:t>
              </w:r>
            </w:hyperlink>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RA CAPITAL MANAGEMENT,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2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$24.86 to $25.00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20" w:right="18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RA Capital Management, L.P. (the "Adviser") is the investment manager for RA Capital Healthcare Fund, L.P. (the "Fund"), RA Capital Nexus II Fund, L.P. (the "Nexus Fund II") and RA Capital Nexus IV Fund, L.P. (the "Nexus Fund IV"). The general partner of the Adviser is RA Capital Management GP, LLC (the "Adviser GP"), of which Dr. Peter Kolchinsky and Mr. Rajeev Shah are the managing members. The Adviser, the Adviser GP, the Fund, Dr. Kolchinsky and Mr. Shah disclaim beneficial ownership of any of the reported securities, except to the extent of their pecuniary interest therein.</w:t>
      </w:r>
    </w:p>
    <w:p>
      <w:pPr>
        <w:spacing w:after="0" w:line="24"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the Fund.</w:t>
      </w:r>
    </w:p>
    <w:p>
      <w:pPr>
        <w:spacing w:after="0" w:line="50"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$24.85 to $25.00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Nexus Fund II.</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Nexus Fund IV.</w:t>
      </w:r>
    </w:p>
    <w:p>
      <w:pPr>
        <w:sectPr>
          <w:pgSz w:w="11900" w:h="16838" w:orient="portrait"/>
          <w:cols w:equalWidth="0" w:num="1">
            <w:col w:w="10880"/>
          </w:cols>
          <w:pgMar w:left="480" w:top="260" w:right="539" w:bottom="1440" w:gutter="0" w:footer="0" w:header="0"/>
        </w:sectPr>
      </w:pPr>
    </w:p>
    <w:p>
      <w:pPr>
        <w:spacing w:after="0" w:line="7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309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of RA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65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708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309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of RA Capital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07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1207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Fund GP,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23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of RA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20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9620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Healthcare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563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9124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91249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5314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Rajeev Shah,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712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3"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100"/>
            <w:col w:w="2120"/>
          </w:cols>
          <w:pgMar w:left="480" w:top="260" w:right="53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260"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13" Type="http://schemas.openxmlformats.org/officeDocument/2006/relationships/hyperlink" Target="http://www.sec.gov/cgi-bin/browse-edgar?action=getcompany&amp;CIK=0001346824" TargetMode="External"/><Relationship Id="rId14" Type="http://schemas.openxmlformats.org/officeDocument/2006/relationships/hyperlink" Target="http://www.sec.gov/cgi-bin/browse-edgar?action=getcompany&amp;CIK=0002114044" TargetMode="External"/><Relationship Id="rId15" Type="http://schemas.openxmlformats.org/officeDocument/2006/relationships/hyperlink" Target="http://www.sec.gov/cgi-bin/browse-edgar?action=getcompany&amp;CIK=0001315082" TargetMode="External"/><Relationship Id="rId17" Type="http://schemas.openxmlformats.org/officeDocument/2006/relationships/hyperlink" Target="http://www.sec.gov/cgi-bin/browse-edgar?action=getcompany&amp;CIK=0001384859" TargetMode="External"/><Relationship Id="rId19" Type="http://schemas.openxmlformats.org/officeDocument/2006/relationships/hyperlink" Target="http://www.sec.gov/cgi-bin/browse-edgar?action=getcompany&amp;CIK=00016198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2026-05-21T15:44:27Z</dcterms:created>
  <dcterms:modified xsi:type="dcterms:W3CDTF">2026-05-21T15:44:27Z</dcterms:modified>
</cp:coreProperties>
</file>