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780415</wp:posOffset>
            </wp:positionH>
            <wp:positionV relativeFrom="paragraph">
              <wp:posOffset>183515</wp:posOffset>
            </wp:positionV>
            <wp:extent cx="560641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0641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217805</wp:posOffset>
            </wp:positionV>
            <wp:extent cx="560641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06415" cy="6985"/>
                    </a:xfrm>
                    <a:prstGeom prst="rect">
                      <a:avLst/>
                    </a:prstGeom>
                    <a:noFill/>
                  </pic:spPr>
                </pic:pic>
              </a:graphicData>
            </a:graphic>
          </wp:anchor>
        </w:drawing>
      </w:r>
    </w:p>
    <w:p>
      <w:pPr>
        <w:spacing w:after="0" w:line="365" w:lineRule="exact"/>
        <w:rPr>
          <w:sz w:val="24"/>
          <w:szCs w:val="24"/>
          <w:color w:val="auto"/>
        </w:rPr>
      </w:pPr>
    </w:p>
    <w:p>
      <w:pPr>
        <w:jc w:val="center"/>
        <w:ind w:right="-1120"/>
        <w:spacing w:after="0"/>
        <w:rPr>
          <w:sz w:val="20"/>
          <w:szCs w:val="20"/>
          <w:color w:val="auto"/>
        </w:rPr>
      </w:pPr>
      <w:r>
        <w:rPr>
          <w:rFonts w:ascii="Arial" w:cs="Arial" w:eastAsia="Arial" w:hAnsi="Arial"/>
          <w:sz w:val="26"/>
          <w:szCs w:val="26"/>
          <w:b w:val="1"/>
          <w:bCs w:val="1"/>
          <w:color w:val="auto"/>
        </w:rPr>
        <w:t>UNITED STATES</w:t>
      </w:r>
    </w:p>
    <w:p>
      <w:pPr>
        <w:spacing w:after="0" w:line="26" w:lineRule="exact"/>
        <w:rPr>
          <w:sz w:val="24"/>
          <w:szCs w:val="24"/>
          <w:color w:val="auto"/>
        </w:rPr>
      </w:pPr>
    </w:p>
    <w:p>
      <w:pPr>
        <w:jc w:val="center"/>
        <w:ind w:right="-1120"/>
        <w:spacing w:after="0"/>
        <w:rPr>
          <w:sz w:val="20"/>
          <w:szCs w:val="20"/>
          <w:color w:val="auto"/>
        </w:rPr>
      </w:pPr>
      <w:r>
        <w:rPr>
          <w:rFonts w:ascii="Arial" w:cs="Arial" w:eastAsia="Arial" w:hAnsi="Arial"/>
          <w:sz w:val="26"/>
          <w:szCs w:val="26"/>
          <w:b w:val="1"/>
          <w:bCs w:val="1"/>
          <w:color w:val="auto"/>
        </w:rPr>
        <w:t>SECURITIES AND EXCHANGE COMMISSION</w:t>
      </w:r>
    </w:p>
    <w:p>
      <w:pPr>
        <w:ind w:left="46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181610</wp:posOffset>
            </wp:positionV>
            <wp:extent cx="118173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1735" cy="698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ind w:left="4940"/>
        <w:spacing w:after="0"/>
        <w:rPr>
          <w:sz w:val="20"/>
          <w:szCs w:val="20"/>
          <w:color w:val="auto"/>
        </w:rPr>
      </w:pPr>
      <w:r>
        <w:rPr>
          <w:rFonts w:ascii="Arial" w:cs="Arial" w:eastAsia="Arial" w:hAnsi="Arial"/>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202565</wp:posOffset>
            </wp:positionV>
            <wp:extent cx="118173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1735"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1220"/>
        <w:spacing w:after="0"/>
        <w:rPr>
          <w:sz w:val="20"/>
          <w:szCs w:val="20"/>
          <w:color w:val="auto"/>
        </w:rPr>
      </w:pPr>
      <w:r>
        <w:rPr>
          <w:rFonts w:ascii="Arial" w:cs="Arial" w:eastAsia="Arial" w:hAnsi="Arial"/>
          <w:sz w:val="14"/>
          <w:szCs w:val="14"/>
          <w:b w:val="1"/>
          <w:bCs w:val="1"/>
          <w:color w:val="auto"/>
        </w:rPr>
        <w:t>(Mark One)</w:t>
      </w:r>
    </w:p>
    <w:p>
      <w:pPr>
        <w:spacing w:after="0" w:line="11" w:lineRule="exact"/>
        <w:rPr>
          <w:sz w:val="24"/>
          <w:szCs w:val="24"/>
          <w:color w:val="auto"/>
        </w:rPr>
      </w:pPr>
    </w:p>
    <w:p>
      <w:pPr>
        <w:ind w:left="1580" w:right="139" w:hanging="351"/>
        <w:spacing w:after="0" w:line="270" w:lineRule="auto"/>
        <w:tabs>
          <w:tab w:leader="none" w:pos="15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120"/>
        <w:spacing w:after="0"/>
        <w:rPr>
          <w:sz w:val="20"/>
          <w:szCs w:val="20"/>
          <w:color w:val="auto"/>
        </w:rPr>
      </w:pPr>
      <w:r>
        <w:rPr>
          <w:rFonts w:ascii="Arial" w:cs="Arial" w:eastAsia="Arial" w:hAnsi="Arial"/>
          <w:sz w:val="14"/>
          <w:szCs w:val="14"/>
          <w:b w:val="1"/>
          <w:bCs w:val="1"/>
          <w:color w:val="auto"/>
        </w:rPr>
        <w:t>For the quarterly period ended March 31, 2026</w:t>
      </w:r>
    </w:p>
    <w:p>
      <w:pPr>
        <w:spacing w:after="0" w:line="174" w:lineRule="exact"/>
        <w:rPr>
          <w:sz w:val="24"/>
          <w:szCs w:val="24"/>
          <w:color w:val="auto"/>
        </w:rPr>
      </w:pPr>
    </w:p>
    <w:p>
      <w:pPr>
        <w:ind w:left="5540"/>
        <w:spacing w:after="0"/>
        <w:rPr>
          <w:sz w:val="20"/>
          <w:szCs w:val="20"/>
          <w:color w:val="auto"/>
        </w:rPr>
      </w:pPr>
      <w:r>
        <w:rPr>
          <w:rFonts w:ascii="Arial" w:cs="Arial" w:eastAsia="Arial" w:hAnsi="Arial"/>
          <w:sz w:val="14"/>
          <w:szCs w:val="14"/>
          <w:b w:val="1"/>
          <w:bCs w:val="1"/>
          <w:color w:val="auto"/>
        </w:rPr>
        <w:t>OR</w:t>
      </w:r>
    </w:p>
    <w:p>
      <w:pPr>
        <w:spacing w:after="0" w:line="188" w:lineRule="exact"/>
        <w:rPr>
          <w:sz w:val="24"/>
          <w:szCs w:val="24"/>
          <w:color w:val="auto"/>
        </w:rPr>
      </w:pPr>
    </w:p>
    <w:p>
      <w:pPr>
        <w:ind w:left="1580" w:right="139" w:hanging="351"/>
        <w:spacing w:after="0" w:line="292" w:lineRule="auto"/>
        <w:tabs>
          <w:tab w:leader="none" w:pos="15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96" w:lineRule="exact"/>
        <w:rPr>
          <w:sz w:val="24"/>
          <w:szCs w:val="24"/>
          <w:color w:val="auto"/>
        </w:rPr>
      </w:pPr>
    </w:p>
    <w:p>
      <w:pPr>
        <w:ind w:left="3780"/>
        <w:spacing w:after="0"/>
        <w:tabs>
          <w:tab w:leader="none" w:pos="6580" w:val="left"/>
        </w:tabs>
        <w:rPr>
          <w:sz w:val="20"/>
          <w:szCs w:val="20"/>
          <w:color w:val="auto"/>
        </w:rPr>
      </w:pPr>
      <w:r>
        <w:rPr>
          <w:rFonts w:ascii="Arial" w:cs="Arial" w:eastAsia="Arial" w:hAnsi="Arial"/>
          <w:sz w:val="14"/>
          <w:szCs w:val="14"/>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3713480</wp:posOffset>
            </wp:positionH>
            <wp:positionV relativeFrom="paragraph">
              <wp:posOffset>-3175</wp:posOffset>
            </wp:positionV>
            <wp:extent cx="10528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2830" cy="6985"/>
                    </a:xfrm>
                    <a:prstGeom prst="rect">
                      <a:avLst/>
                    </a:prstGeom>
                    <a:noFill/>
                  </pic:spPr>
                </pic:pic>
              </a:graphicData>
            </a:graphic>
          </wp:anchor>
        </w:drawing>
      </w:r>
    </w:p>
    <w:p>
      <w:pPr>
        <w:spacing w:after="0" w:line="154"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Commission File Number: 001-43250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188595</wp:posOffset>
            </wp:positionV>
            <wp:extent cx="118173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81735" cy="698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35"/>
          <w:szCs w:val="35"/>
          <w:b w:val="1"/>
          <w:bCs w:val="1"/>
          <w:color w:val="auto"/>
        </w:rPr>
        <w:t>Hemab Therapeutics Holdings, Inc.</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179705</wp:posOffset>
            </wp:positionV>
            <wp:extent cx="118173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81735" cy="698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tbl>
      <w:tblPr>
        <w:tblLayout w:type="fixed"/>
        <w:tblInd w:w="2380" w:type="dxa"/>
        <w:tblCellMar>
          <w:top w:w="0" w:type="dxa"/>
          <w:left w:w="0" w:type="dxa"/>
          <w:bottom w:w="0" w:type="dxa"/>
          <w:right w:w="0" w:type="dxa"/>
        </w:tblCellMar>
      </w:tblPr>
      <w:tr>
        <w:trPr>
          <w:trHeight w:val="180"/>
        </w:trPr>
        <w:tc>
          <w:tcPr>
            <w:tcW w:w="4880" w:type="dxa"/>
            <w:vAlign w:val="bottom"/>
          </w:tcPr>
          <w:p>
            <w:pPr>
              <w:jc w:val="center"/>
              <w:ind w:right="2655"/>
              <w:spacing w:after="0"/>
              <w:rPr>
                <w:sz w:val="20"/>
                <w:szCs w:val="20"/>
                <w:color w:val="auto"/>
              </w:rPr>
            </w:pPr>
            <w:r>
              <w:rPr>
                <w:rFonts w:ascii="Arial" w:cs="Arial" w:eastAsia="Arial" w:hAnsi="Arial"/>
                <w:sz w:val="14"/>
                <w:szCs w:val="14"/>
                <w:b w:val="1"/>
                <w:bCs w:val="1"/>
                <w:color w:val="auto"/>
              </w:rPr>
              <w:t>Delaware</w:t>
            </w:r>
          </w:p>
        </w:tc>
        <w:tc>
          <w:tcPr>
            <w:tcW w:w="1140" w:type="dxa"/>
            <w:vAlign w:val="bottom"/>
          </w:tcPr>
          <w:p>
            <w:pPr>
              <w:jc w:val="right"/>
              <w:ind w:right="37"/>
              <w:spacing w:after="0"/>
              <w:rPr>
                <w:sz w:val="20"/>
                <w:szCs w:val="20"/>
                <w:color w:val="auto"/>
              </w:rPr>
            </w:pPr>
            <w:r>
              <w:rPr>
                <w:rFonts w:ascii="Arial" w:cs="Arial" w:eastAsia="Arial" w:hAnsi="Arial"/>
                <w:sz w:val="14"/>
                <w:szCs w:val="14"/>
                <w:b w:val="1"/>
                <w:bCs w:val="1"/>
                <w:color w:val="auto"/>
              </w:rPr>
              <w:t>41-4241952</w:t>
            </w:r>
          </w:p>
        </w:tc>
      </w:tr>
      <w:tr>
        <w:trPr>
          <w:trHeight w:val="130"/>
        </w:trPr>
        <w:tc>
          <w:tcPr>
            <w:tcW w:w="4880" w:type="dxa"/>
            <w:vAlign w:val="bottom"/>
          </w:tcPr>
          <w:p>
            <w:pPr>
              <w:jc w:val="center"/>
              <w:ind w:right="2675"/>
              <w:spacing w:after="0" w:line="130" w:lineRule="exact"/>
              <w:rPr>
                <w:sz w:val="20"/>
                <w:szCs w:val="20"/>
                <w:color w:val="auto"/>
              </w:rPr>
            </w:pPr>
            <w:r>
              <w:rPr>
                <w:rFonts w:ascii="Arial" w:cs="Arial" w:eastAsia="Arial" w:hAnsi="Arial"/>
                <w:sz w:val="12"/>
                <w:szCs w:val="12"/>
                <w:b w:val="1"/>
                <w:bCs w:val="1"/>
                <w:color w:val="auto"/>
                <w:w w:val="95"/>
              </w:rPr>
              <w:t>(State or other jurisdiction of</w:t>
            </w:r>
          </w:p>
        </w:tc>
        <w:tc>
          <w:tcPr>
            <w:tcW w:w="1140" w:type="dxa"/>
            <w:vAlign w:val="bottom"/>
          </w:tcPr>
          <w:p>
            <w:pPr>
              <w:jc w:val="center"/>
              <w:ind w:left="117"/>
              <w:spacing w:after="0" w:line="130" w:lineRule="exact"/>
              <w:rPr>
                <w:sz w:val="20"/>
                <w:szCs w:val="20"/>
                <w:color w:val="auto"/>
              </w:rPr>
            </w:pPr>
            <w:r>
              <w:rPr>
                <w:rFonts w:ascii="Arial" w:cs="Arial" w:eastAsia="Arial" w:hAnsi="Arial"/>
                <w:sz w:val="12"/>
                <w:szCs w:val="12"/>
                <w:b w:val="1"/>
                <w:bCs w:val="1"/>
                <w:color w:val="auto"/>
                <w:w w:val="95"/>
              </w:rPr>
              <w:t>(I.R.S. Employer</w:t>
            </w:r>
          </w:p>
        </w:tc>
      </w:tr>
      <w:tr>
        <w:trPr>
          <w:trHeight w:val="158"/>
        </w:trPr>
        <w:tc>
          <w:tcPr>
            <w:tcW w:w="4880" w:type="dxa"/>
            <w:vAlign w:val="bottom"/>
          </w:tcPr>
          <w:p>
            <w:pPr>
              <w:jc w:val="center"/>
              <w:ind w:right="2655"/>
              <w:spacing w:after="0"/>
              <w:rPr>
                <w:sz w:val="20"/>
                <w:szCs w:val="20"/>
                <w:color w:val="auto"/>
              </w:rPr>
            </w:pPr>
            <w:r>
              <w:rPr>
                <w:rFonts w:ascii="Arial" w:cs="Arial" w:eastAsia="Arial" w:hAnsi="Arial"/>
                <w:sz w:val="12"/>
                <w:szCs w:val="12"/>
                <w:b w:val="1"/>
                <w:bCs w:val="1"/>
                <w:color w:val="auto"/>
                <w:w w:val="95"/>
              </w:rPr>
              <w:t>incorporation or organization)</w:t>
            </w:r>
          </w:p>
        </w:tc>
        <w:tc>
          <w:tcPr>
            <w:tcW w:w="1140" w:type="dxa"/>
            <w:vAlign w:val="bottom"/>
          </w:tcPr>
          <w:p>
            <w:pPr>
              <w:jc w:val="center"/>
              <w:ind w:left="97"/>
              <w:spacing w:after="0"/>
              <w:rPr>
                <w:sz w:val="20"/>
                <w:szCs w:val="20"/>
                <w:color w:val="auto"/>
              </w:rPr>
            </w:pPr>
            <w:r>
              <w:rPr>
                <w:rFonts w:ascii="Arial" w:cs="Arial" w:eastAsia="Arial" w:hAnsi="Arial"/>
                <w:sz w:val="12"/>
                <w:szCs w:val="12"/>
                <w:b w:val="1"/>
                <w:bCs w:val="1"/>
                <w:color w:val="auto"/>
                <w:w w:val="96"/>
              </w:rPr>
              <w:t>Identification No.)</w:t>
            </w:r>
          </w:p>
        </w:tc>
      </w:tr>
      <w:tr>
        <w:trPr>
          <w:trHeight w:val="311"/>
        </w:trPr>
        <w:tc>
          <w:tcPr>
            <w:tcW w:w="4880" w:type="dxa"/>
            <w:vAlign w:val="bottom"/>
          </w:tcPr>
          <w:p>
            <w:pPr>
              <w:jc w:val="center"/>
              <w:ind w:right="2655"/>
              <w:spacing w:after="0"/>
              <w:rPr>
                <w:sz w:val="20"/>
                <w:szCs w:val="20"/>
                <w:color w:val="auto"/>
              </w:rPr>
            </w:pPr>
            <w:r>
              <w:rPr>
                <w:rFonts w:ascii="Arial" w:cs="Arial" w:eastAsia="Arial" w:hAnsi="Arial"/>
                <w:sz w:val="14"/>
                <w:szCs w:val="14"/>
                <w:b w:val="1"/>
                <w:bCs w:val="1"/>
                <w:color w:val="auto"/>
              </w:rPr>
              <w:t>101 Main Street, Suite 1220</w:t>
            </w:r>
          </w:p>
        </w:tc>
        <w:tc>
          <w:tcPr>
            <w:tcW w:w="1140" w:type="dxa"/>
            <w:vAlign w:val="bottom"/>
          </w:tcPr>
          <w:p>
            <w:pPr>
              <w:spacing w:after="0"/>
              <w:rPr>
                <w:sz w:val="24"/>
                <w:szCs w:val="24"/>
                <w:color w:val="auto"/>
              </w:rPr>
            </w:pPr>
          </w:p>
        </w:tc>
      </w:tr>
      <w:tr>
        <w:trPr>
          <w:trHeight w:val="180"/>
        </w:trPr>
        <w:tc>
          <w:tcPr>
            <w:tcW w:w="4880" w:type="dxa"/>
            <w:vAlign w:val="bottom"/>
          </w:tcPr>
          <w:p>
            <w:pPr>
              <w:jc w:val="center"/>
              <w:ind w:right="2655"/>
              <w:spacing w:after="0"/>
              <w:rPr>
                <w:sz w:val="20"/>
                <w:szCs w:val="20"/>
                <w:color w:val="auto"/>
              </w:rPr>
            </w:pPr>
            <w:r>
              <w:rPr>
                <w:rFonts w:ascii="Arial" w:cs="Arial" w:eastAsia="Arial" w:hAnsi="Arial"/>
                <w:sz w:val="14"/>
                <w:szCs w:val="14"/>
                <w:b w:val="1"/>
                <w:bCs w:val="1"/>
                <w:color w:val="auto"/>
              </w:rPr>
              <w:t>Cambridge, Massachusetts</w:t>
            </w: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color w:val="auto"/>
              </w:rPr>
              <w:t>02142</w:t>
            </w:r>
          </w:p>
        </w:tc>
      </w:tr>
      <w:tr>
        <w:trPr>
          <w:trHeight w:val="158"/>
        </w:trPr>
        <w:tc>
          <w:tcPr>
            <w:tcW w:w="4880" w:type="dxa"/>
            <w:vAlign w:val="bottom"/>
          </w:tcPr>
          <w:p>
            <w:pPr>
              <w:jc w:val="center"/>
              <w:ind w:right="2655"/>
              <w:spacing w:after="0"/>
              <w:rPr>
                <w:sz w:val="20"/>
                <w:szCs w:val="20"/>
                <w:color w:val="auto"/>
              </w:rPr>
            </w:pPr>
            <w:r>
              <w:rPr>
                <w:rFonts w:ascii="Arial" w:cs="Arial" w:eastAsia="Arial" w:hAnsi="Arial"/>
                <w:sz w:val="12"/>
                <w:szCs w:val="12"/>
                <w:b w:val="1"/>
                <w:bCs w:val="1"/>
                <w:color w:val="auto"/>
                <w:w w:val="96"/>
              </w:rPr>
              <w:t>(Address of principal executive offices)</w:t>
            </w:r>
          </w:p>
        </w:tc>
        <w:tc>
          <w:tcPr>
            <w:tcW w:w="1140" w:type="dxa"/>
            <w:vAlign w:val="bottom"/>
          </w:tcPr>
          <w:p>
            <w:pPr>
              <w:jc w:val="center"/>
              <w:ind w:left="117"/>
              <w:spacing w:after="0"/>
              <w:rPr>
                <w:sz w:val="20"/>
                <w:szCs w:val="20"/>
                <w:color w:val="auto"/>
              </w:rPr>
            </w:pPr>
            <w:r>
              <w:rPr>
                <w:rFonts w:ascii="Arial" w:cs="Arial" w:eastAsia="Arial" w:hAnsi="Arial"/>
                <w:sz w:val="12"/>
                <w:szCs w:val="12"/>
                <w:b w:val="1"/>
                <w:bCs w:val="1"/>
                <w:color w:val="auto"/>
                <w:w w:val="94"/>
              </w:rPr>
              <w:t>(Zip Code)</w:t>
            </w:r>
          </w:p>
        </w:tc>
      </w:tr>
      <w:tr>
        <w:trPr>
          <w:trHeight w:val="307"/>
        </w:trPr>
        <w:tc>
          <w:tcPr>
            <w:tcW w:w="4880" w:type="dxa"/>
            <w:vAlign w:val="bottom"/>
          </w:tcPr>
          <w:p>
            <w:pPr>
              <w:jc w:val="right"/>
              <w:ind w:right="1055"/>
              <w:spacing w:after="0"/>
              <w:rPr>
                <w:sz w:val="20"/>
                <w:szCs w:val="20"/>
                <w:color w:val="auto"/>
              </w:rPr>
            </w:pPr>
            <w:r>
              <w:rPr>
                <w:rFonts w:ascii="Arial" w:cs="Arial" w:eastAsia="Arial" w:hAnsi="Arial"/>
                <w:sz w:val="14"/>
                <w:szCs w:val="14"/>
                <w:b w:val="1"/>
                <w:bCs w:val="1"/>
                <w:color w:val="auto"/>
              </w:rPr>
              <w:t>(617) 553-3952</w:t>
            </w:r>
          </w:p>
        </w:tc>
        <w:tc>
          <w:tcPr>
            <w:tcW w:w="1140" w:type="dxa"/>
            <w:vAlign w:val="bottom"/>
          </w:tcPr>
          <w:p>
            <w:pPr>
              <w:spacing w:after="0"/>
              <w:rPr>
                <w:sz w:val="24"/>
                <w:szCs w:val="24"/>
                <w:color w:val="auto"/>
              </w:rPr>
            </w:pPr>
          </w:p>
        </w:tc>
      </w:tr>
      <w:tr>
        <w:trPr>
          <w:trHeight w:val="158"/>
        </w:trPr>
        <w:tc>
          <w:tcPr>
            <w:tcW w:w="4880" w:type="dxa"/>
            <w:vAlign w:val="bottom"/>
          </w:tcPr>
          <w:p>
            <w:pPr>
              <w:jc w:val="center"/>
              <w:ind w:left="1575"/>
              <w:spacing w:after="0"/>
              <w:rPr>
                <w:sz w:val="20"/>
                <w:szCs w:val="20"/>
                <w:color w:val="auto"/>
              </w:rPr>
            </w:pPr>
            <w:r>
              <w:rPr>
                <w:rFonts w:ascii="Arial" w:cs="Arial" w:eastAsia="Arial" w:hAnsi="Arial"/>
                <w:sz w:val="12"/>
                <w:szCs w:val="12"/>
                <w:b w:val="1"/>
                <w:bCs w:val="1"/>
                <w:color w:val="auto"/>
                <w:w w:val="96"/>
              </w:rPr>
              <w:t>(Registrant’s telephone number, including area code)</w:t>
            </w:r>
          </w:p>
        </w:tc>
        <w:tc>
          <w:tcPr>
            <w:tcW w:w="11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2992755</wp:posOffset>
            </wp:positionH>
            <wp:positionV relativeFrom="paragraph">
              <wp:posOffset>165735</wp:posOffset>
            </wp:positionV>
            <wp:extent cx="11817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81735"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94" w:lineRule="exact"/>
        <w:rPr>
          <w:sz w:val="24"/>
          <w:szCs w:val="24"/>
          <w:color w:val="auto"/>
        </w:rPr>
      </w:pPr>
    </w:p>
    <w:tbl>
      <w:tblPr>
        <w:tblLayout w:type="fixed"/>
        <w:tblInd w:w="122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5"/>
              </w:rPr>
              <w:t>Trading</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w w:val="96"/>
              </w:rPr>
              <w:t>Name of each exchange</w:t>
            </w:r>
          </w:p>
        </w:tc>
      </w:tr>
      <w:tr>
        <w:trPr>
          <w:trHeight w:val="149"/>
        </w:trPr>
        <w:tc>
          <w:tcPr>
            <w:tcW w:w="31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Title of each class</w:t>
            </w:r>
          </w:p>
        </w:tc>
        <w:tc>
          <w:tcPr>
            <w:tcW w:w="2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Symbol(s)</w:t>
            </w:r>
          </w:p>
        </w:tc>
        <w:tc>
          <w:tcPr>
            <w:tcW w:w="2820" w:type="dxa"/>
            <w:vAlign w:val="bottom"/>
          </w:tcPr>
          <w:p>
            <w:pPr>
              <w:jc w:val="center"/>
              <w:spacing w:after="0"/>
              <w:rPr>
                <w:sz w:val="20"/>
                <w:szCs w:val="20"/>
                <w:color w:val="auto"/>
              </w:rPr>
            </w:pPr>
            <w:r>
              <w:rPr>
                <w:rFonts w:ascii="Arial" w:cs="Arial" w:eastAsia="Arial" w:hAnsi="Arial"/>
                <w:sz w:val="12"/>
                <w:szCs w:val="12"/>
                <w:b w:val="1"/>
                <w:bCs w:val="1"/>
                <w:color w:val="auto"/>
                <w:w w:val="96"/>
              </w:rPr>
              <w:t>on which registered</w:t>
            </w:r>
          </w:p>
        </w:tc>
      </w:tr>
      <w:tr>
        <w:trPr>
          <w:trHeight w:val="138"/>
        </w:trPr>
        <w:tc>
          <w:tcPr>
            <w:tcW w:w="30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Common Stock, $0.0001 par value per</w:t>
            </w:r>
          </w:p>
        </w:tc>
        <w:tc>
          <w:tcPr>
            <w:tcW w:w="100" w:type="dxa"/>
            <w:vAlign w:val="bottom"/>
          </w:tcPr>
          <w:p>
            <w:pPr>
              <w:spacing w:after="0"/>
              <w:rPr>
                <w:sz w:val="12"/>
                <w:szCs w:val="12"/>
                <w:color w:val="auto"/>
              </w:rPr>
            </w:pPr>
          </w:p>
        </w:tc>
        <w:tc>
          <w:tcPr>
            <w:tcW w:w="28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COAG</w:t>
            </w:r>
          </w:p>
        </w:tc>
        <w:tc>
          <w:tcPr>
            <w:tcW w:w="100" w:type="dxa"/>
            <w:vAlign w:val="bottom"/>
          </w:tcPr>
          <w:p>
            <w:pPr>
              <w:spacing w:after="0"/>
              <w:rPr>
                <w:sz w:val="12"/>
                <w:szCs w:val="12"/>
                <w:color w:val="auto"/>
              </w:rPr>
            </w:pPr>
          </w:p>
        </w:tc>
        <w:tc>
          <w:tcPr>
            <w:tcW w:w="28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rPr>
              <w:t>Nasdaq Global Select Market</w:t>
            </w:r>
          </w:p>
        </w:tc>
      </w:tr>
      <w:tr>
        <w:trPr>
          <w:trHeight w:val="199"/>
        </w:trPr>
        <w:tc>
          <w:tcPr>
            <w:tcW w:w="3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w:t>
            </w: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r>
    </w:tbl>
    <w:p>
      <w:pPr>
        <w:spacing w:after="0" w:line="137" w:lineRule="exact"/>
        <w:rPr>
          <w:sz w:val="24"/>
          <w:szCs w:val="24"/>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220"/>
        <w:spacing w:after="0" w:line="161"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5" w:lineRule="exact"/>
        <w:rPr>
          <w:sz w:val="24"/>
          <w:szCs w:val="24"/>
          <w:color w:val="auto"/>
        </w:rPr>
      </w:pPr>
    </w:p>
    <w:p>
      <w:pPr>
        <w:ind w:left="1220" w:right="459" w:firstLine="353"/>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38" w:lineRule="exact"/>
        <w:rPr>
          <w:sz w:val="24"/>
          <w:szCs w:val="24"/>
          <w:color w:val="auto"/>
        </w:rPr>
      </w:pPr>
    </w:p>
    <w:p>
      <w:pPr>
        <w:ind w:left="1220" w:right="279" w:firstLine="353"/>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1220" w:type="dxa"/>
        <w:tblCellMar>
          <w:top w:w="0" w:type="dxa"/>
          <w:left w:w="0" w:type="dxa"/>
          <w:bottom w:w="0" w:type="dxa"/>
          <w:right w:w="0" w:type="dxa"/>
        </w:tblCellMar>
      </w:tblPr>
      <w:tr>
        <w:trPr>
          <w:trHeight w:val="242"/>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6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28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60"/>
        </w:trPr>
        <w:tc>
          <w:tcPr>
            <w:tcW w:w="15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28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36" w:lineRule="exact"/>
        <w:rPr>
          <w:sz w:val="24"/>
          <w:szCs w:val="24"/>
          <w:color w:val="auto"/>
        </w:rPr>
      </w:pPr>
    </w:p>
    <w:p>
      <w:pPr>
        <w:ind w:left="1220" w:right="419" w:firstLine="353"/>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6" w:lineRule="exact"/>
        <w:rPr>
          <w:sz w:val="24"/>
          <w:szCs w:val="24"/>
          <w:color w:val="auto"/>
        </w:rPr>
      </w:pPr>
    </w:p>
    <w:p>
      <w:pPr>
        <w:ind w:left="158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left="1580"/>
        <w:spacing w:after="0"/>
        <w:rPr>
          <w:sz w:val="20"/>
          <w:szCs w:val="20"/>
          <w:color w:val="auto"/>
        </w:rPr>
      </w:pPr>
      <w:r>
        <w:rPr>
          <w:rFonts w:ascii="Arial" w:cs="Arial" w:eastAsia="Arial" w:hAnsi="Arial"/>
          <w:sz w:val="14"/>
          <w:szCs w:val="14"/>
          <w:color w:val="auto"/>
        </w:rPr>
        <w:t>As of May 8, 2026, the registrant had 46,705,410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780415</wp:posOffset>
            </wp:positionH>
            <wp:positionV relativeFrom="paragraph">
              <wp:posOffset>133985</wp:posOffset>
            </wp:positionV>
            <wp:extent cx="560641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0641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168275</wp:posOffset>
            </wp:positionV>
            <wp:extent cx="560641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6415" cy="6985"/>
                    </a:xfrm>
                    <a:prstGeom prst="rect">
                      <a:avLst/>
                    </a:prstGeom>
                    <a:noFill/>
                  </pic:spPr>
                </pic:pic>
              </a:graphicData>
            </a:graphic>
          </wp:anchor>
        </w:drawing>
      </w:r>
    </w:p>
    <w:p>
      <w:pPr>
        <w:sectPr>
          <w:pgSz w:w="11900" w:h="16838" w:orient="portrait"/>
          <w:cols w:equalWidth="0" w:num="1">
            <w:col w:w="10159"/>
          </w:cols>
          <w:pgMar w:left="30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Table of Contents</w:t>
      </w:r>
    </w:p>
    <w:p>
      <w:pPr>
        <w:spacing w:after="0" w:line="203" w:lineRule="exact"/>
        <w:rPr>
          <w:sz w:val="20"/>
          <w:szCs w:val="20"/>
          <w:color w:val="auto"/>
        </w:rPr>
      </w:pPr>
    </w:p>
    <w:tbl>
      <w:tblPr>
        <w:tblLayout w:type="fixed"/>
        <w:tblInd w:w="1220" w:type="dxa"/>
        <w:tblCellMar>
          <w:top w:w="0" w:type="dxa"/>
          <w:left w:w="0" w:type="dxa"/>
          <w:bottom w:w="0" w:type="dxa"/>
          <w:right w:w="0" w:type="dxa"/>
        </w:tblCellMar>
      </w:tblPr>
      <w:tr>
        <w:trPr>
          <w:trHeight w:val="158"/>
        </w:trPr>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207"/>
        </w:trPr>
        <w:tc>
          <w:tcPr>
            <w:tcW w:w="8340" w:type="dxa"/>
            <w:vAlign w:val="bottom"/>
            <w:gridSpan w:val="24"/>
          </w:tcPr>
          <w:p>
            <w:pPr>
              <w:spacing w:after="0"/>
              <w:rPr>
                <w:sz w:val="20"/>
                <w:szCs w:val="20"/>
                <w:color w:val="auto"/>
              </w:rPr>
            </w:pPr>
            <w:r>
              <w:rPr>
                <w:rFonts w:ascii="Arial" w:cs="Arial" w:eastAsia="Arial" w:hAnsi="Arial"/>
                <w:sz w:val="14"/>
                <w:szCs w:val="14"/>
                <w:color w:val="0000EE"/>
              </w:rPr>
              <w:t>CAUTIONARY NOTE REGARDING FORWARD-LOOKING STATEMENTS</w:t>
            </w: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4780" w:type="dxa"/>
            <w:vAlign w:val="bottom"/>
            <w:tcBorders>
              <w:top w:val="single" w:sz="8" w:color="0000EE"/>
            </w:tcBorders>
            <w:gridSpan w:val="16"/>
          </w:tcPr>
          <w:p>
            <w:pPr>
              <w:spacing w:after="0" w:line="143" w:lineRule="exact"/>
              <w:rPr>
                <w:sz w:val="20"/>
                <w:szCs w:val="20"/>
                <w:color w:val="auto"/>
              </w:rPr>
            </w:pPr>
            <w:r>
              <w:rPr>
                <w:rFonts w:ascii="Arial" w:cs="Arial" w:eastAsia="Arial" w:hAnsi="Arial"/>
                <w:sz w:val="14"/>
                <w:szCs w:val="14"/>
                <w:color w:val="0000EE"/>
              </w:rPr>
              <w:t>RISK FACTOR SUMMARY</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4"/>
                <w:szCs w:val="14"/>
                <w:b w:val="1"/>
                <w:bCs w:val="1"/>
                <w:color w:val="auto"/>
              </w:rPr>
              <w:t>PART I.</w:t>
            </w:r>
          </w:p>
        </w:tc>
        <w:tc>
          <w:tcPr>
            <w:tcW w:w="7640" w:type="dxa"/>
            <w:vAlign w:val="bottom"/>
            <w:gridSpan w:val="23"/>
          </w:tcPr>
          <w:p>
            <w:pPr>
              <w:spacing w:after="0"/>
              <w:rPr>
                <w:sz w:val="20"/>
                <w:szCs w:val="20"/>
                <w:color w:val="auto"/>
              </w:rPr>
            </w:pPr>
            <w:r>
              <w:rPr>
                <w:rFonts w:ascii="Arial" w:cs="Arial" w:eastAsia="Arial" w:hAnsi="Arial"/>
                <w:sz w:val="14"/>
                <w:szCs w:val="14"/>
                <w:b w:val="1"/>
                <w:bCs w:val="1"/>
                <w:color w:val="0000EE"/>
              </w:rPr>
              <w:t>FINANCIAL INFORMATION</w:t>
            </w:r>
          </w:p>
        </w:tc>
        <w:tc>
          <w:tcPr>
            <w:tcW w:w="46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rPr>
                <w:sz w:val="20"/>
                <w:szCs w:val="20"/>
                <w:color w:val="auto"/>
              </w:rPr>
            </w:pPr>
            <w:r>
              <w:rPr>
                <w:rFonts w:ascii="Arial" w:cs="Arial" w:eastAsia="Arial" w:hAnsi="Arial"/>
                <w:sz w:val="14"/>
                <w:szCs w:val="14"/>
                <w:color w:val="auto"/>
              </w:rPr>
              <w:t>Item 1.</w:t>
            </w: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line="20" w:lineRule="exact"/>
              <w:rPr>
                <w:sz w:val="1"/>
                <w:szCs w:val="1"/>
                <w:color w:val="auto"/>
              </w:rPr>
            </w:pPr>
          </w:p>
        </w:tc>
      </w:tr>
      <w:tr>
        <w:trPr>
          <w:trHeight w:val="142"/>
        </w:trPr>
        <w:tc>
          <w:tcPr>
            <w:tcW w:w="700" w:type="dxa"/>
            <w:vAlign w:val="bottom"/>
            <w:vMerge w:val="continue"/>
          </w:tcPr>
          <w:p>
            <w:pPr>
              <w:spacing w:after="0"/>
              <w:rPr>
                <w:sz w:val="12"/>
                <w:szCs w:val="12"/>
                <w:color w:val="auto"/>
              </w:rPr>
            </w:pPr>
          </w:p>
        </w:tc>
        <w:tc>
          <w:tcPr>
            <w:tcW w:w="7640" w:type="dxa"/>
            <w:vAlign w:val="bottom"/>
            <w:gridSpan w:val="23"/>
          </w:tcPr>
          <w:p>
            <w:pPr>
              <w:spacing w:after="0" w:line="143" w:lineRule="exact"/>
              <w:rPr>
                <w:sz w:val="20"/>
                <w:szCs w:val="20"/>
                <w:color w:val="auto"/>
              </w:rPr>
            </w:pPr>
            <w:r>
              <w:rPr>
                <w:rFonts w:ascii="Arial" w:cs="Arial" w:eastAsia="Arial" w:hAnsi="Arial"/>
                <w:sz w:val="14"/>
                <w:szCs w:val="14"/>
                <w:color w:val="0000EE"/>
              </w:rPr>
              <w:t>Financial Statements (Unaudited)</w:t>
            </w: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2140" w:type="dxa"/>
            <w:vAlign w:val="bottom"/>
            <w:tcBorders>
              <w:top w:val="single" w:sz="8" w:color="0000EE"/>
              <w:bottom w:val="single" w:sz="8" w:color="0000EE"/>
            </w:tcBorders>
            <w:gridSpan w:val="12"/>
          </w:tcPr>
          <w:p>
            <w:pPr>
              <w:spacing w:after="0" w:line="143" w:lineRule="exact"/>
              <w:rPr>
                <w:sz w:val="20"/>
                <w:szCs w:val="20"/>
                <w:color w:val="auto"/>
              </w:rPr>
            </w:pPr>
            <w:r>
              <w:rPr>
                <w:rFonts w:ascii="Arial" w:cs="Arial" w:eastAsia="Arial" w:hAnsi="Arial"/>
                <w:sz w:val="14"/>
                <w:szCs w:val="14"/>
                <w:color w:val="0000EE"/>
              </w:rPr>
              <w:t>Condensed Consolidated Balance</w:t>
            </w:r>
          </w:p>
        </w:tc>
        <w:tc>
          <w:tcPr>
            <w:tcW w:w="3520" w:type="dxa"/>
            <w:vAlign w:val="bottom"/>
            <w:tcBorders>
              <w:bottom w:val="single" w:sz="8" w:color="0000EE"/>
            </w:tcBorders>
            <w:gridSpan w:val="6"/>
          </w:tcPr>
          <w:p>
            <w:pPr>
              <w:ind w:left="80"/>
              <w:spacing w:after="0" w:line="143" w:lineRule="exact"/>
              <w:rPr>
                <w:sz w:val="20"/>
                <w:szCs w:val="20"/>
                <w:color w:val="auto"/>
              </w:rPr>
            </w:pPr>
            <w:r>
              <w:rPr>
                <w:rFonts w:ascii="Arial" w:cs="Arial" w:eastAsia="Arial" w:hAnsi="Arial"/>
                <w:sz w:val="14"/>
                <w:szCs w:val="14"/>
                <w:color w:val="0000EE"/>
              </w:rPr>
              <w:t>Sheets as of March 31, 2026 and December 31, 2025</w:t>
            </w:r>
          </w:p>
        </w:tc>
        <w:tc>
          <w:tcPr>
            <w:tcW w:w="1980" w:type="dxa"/>
            <w:vAlign w:val="bottom"/>
            <w:gridSpan w:val="5"/>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40" w:type="dxa"/>
            <w:vAlign w:val="bottom"/>
            <w:gridSpan w:val="23"/>
          </w:tcPr>
          <w:p>
            <w:pPr>
              <w:spacing w:after="0" w:line="143" w:lineRule="exact"/>
              <w:rPr>
                <w:sz w:val="20"/>
                <w:szCs w:val="20"/>
                <w:color w:val="auto"/>
              </w:rPr>
            </w:pPr>
            <w:r>
              <w:rPr>
                <w:rFonts w:ascii="Arial" w:cs="Arial" w:eastAsia="Arial" w:hAnsi="Arial"/>
                <w:sz w:val="14"/>
                <w:szCs w:val="14"/>
                <w:color w:val="0000EE"/>
              </w:rPr>
              <w:t>Condensed Consolidated Statements of Operations and Comprehensive Loss for the three months ended March 31,</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20" w:type="dxa"/>
            <w:vAlign w:val="bottom"/>
            <w:tcBorders>
              <w:top w:val="single" w:sz="8" w:color="0000EE"/>
            </w:tcBorders>
            <w:gridSpan w:val="21"/>
          </w:tcPr>
          <w:p>
            <w:pPr>
              <w:spacing w:after="0" w:line="143" w:lineRule="exact"/>
              <w:rPr>
                <w:sz w:val="20"/>
                <w:szCs w:val="20"/>
                <w:color w:val="auto"/>
              </w:rPr>
            </w:pPr>
            <w:r>
              <w:rPr>
                <w:rFonts w:ascii="Arial" w:cs="Arial" w:eastAsia="Arial" w:hAnsi="Arial"/>
                <w:sz w:val="14"/>
                <w:szCs w:val="14"/>
                <w:color w:val="0000EE"/>
              </w:rPr>
              <w:t>2026 and 2025</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960" w:type="dxa"/>
            <w:vAlign w:val="bottom"/>
            <w:tcBorders>
              <w:top w:val="single" w:sz="8" w:color="0000EE"/>
            </w:tcBorders>
            <w:gridSpan w:val="3"/>
          </w:tcPr>
          <w:p>
            <w:pPr>
              <w:spacing w:after="0" w:line="143" w:lineRule="exact"/>
              <w:rPr>
                <w:sz w:val="20"/>
                <w:szCs w:val="20"/>
                <w:color w:val="auto"/>
              </w:rPr>
            </w:pPr>
            <w:r>
              <w:rPr>
                <w:rFonts w:ascii="Arial" w:cs="Arial" w:eastAsia="Arial" w:hAnsi="Arial"/>
                <w:sz w:val="14"/>
                <w:szCs w:val="14"/>
                <w:color w:val="0000EE"/>
              </w:rPr>
              <w:t>Condensed</w:t>
            </w:r>
          </w:p>
        </w:tc>
        <w:tc>
          <w:tcPr>
            <w:tcW w:w="6680" w:type="dxa"/>
            <w:vAlign w:val="bottom"/>
            <w:gridSpan w:val="20"/>
          </w:tcPr>
          <w:p>
            <w:pPr>
              <w:spacing w:after="0" w:line="143" w:lineRule="exact"/>
              <w:rPr>
                <w:sz w:val="20"/>
                <w:szCs w:val="20"/>
                <w:color w:val="auto"/>
              </w:rPr>
            </w:pPr>
            <w:r>
              <w:rPr>
                <w:rFonts w:ascii="Arial" w:cs="Arial" w:eastAsia="Arial" w:hAnsi="Arial"/>
                <w:sz w:val="14"/>
                <w:szCs w:val="14"/>
                <w:color w:val="0000EE"/>
              </w:rPr>
              <w:t>Consolidated Statements of Changes in Convertible Preference Shares, Convertible Preferred Stock and</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60" w:type="dxa"/>
            <w:vAlign w:val="bottom"/>
            <w:tcBorders>
              <w:top w:val="single" w:sz="8" w:color="0000EE"/>
            </w:tcBorders>
            <w:gridSpan w:val="22"/>
          </w:tcPr>
          <w:p>
            <w:pPr>
              <w:spacing w:after="0" w:line="143" w:lineRule="exact"/>
              <w:rPr>
                <w:sz w:val="20"/>
                <w:szCs w:val="20"/>
                <w:color w:val="auto"/>
              </w:rPr>
            </w:pPr>
            <w:r>
              <w:rPr>
                <w:rFonts w:ascii="Arial" w:cs="Arial" w:eastAsia="Arial" w:hAnsi="Arial"/>
                <w:sz w:val="14"/>
                <w:szCs w:val="14"/>
                <w:color w:val="0000EE"/>
              </w:rPr>
              <w:t>Stockholders’ Deficit for the three months ended March 31, 2026 and 2025</w:t>
            </w:r>
          </w:p>
        </w:tc>
        <w:tc>
          <w:tcPr>
            <w:tcW w:w="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760" w:type="dxa"/>
            <w:vAlign w:val="bottom"/>
            <w:tcBorders>
              <w:top w:val="single" w:sz="8" w:color="0000EE"/>
            </w:tcBorders>
            <w:gridSpan w:val="17"/>
          </w:tcPr>
          <w:p>
            <w:pPr>
              <w:spacing w:after="0" w:line="143" w:lineRule="exact"/>
              <w:rPr>
                <w:sz w:val="20"/>
                <w:szCs w:val="20"/>
                <w:color w:val="auto"/>
              </w:rPr>
            </w:pPr>
            <w:r>
              <w:rPr>
                <w:rFonts w:ascii="Arial" w:cs="Arial" w:eastAsia="Arial" w:hAnsi="Arial"/>
                <w:sz w:val="14"/>
                <w:szCs w:val="14"/>
                <w:color w:val="0000EE"/>
              </w:rPr>
              <w:t>Condensed Consolidated Statements of Cash Flows for the three months</w:t>
            </w:r>
          </w:p>
        </w:tc>
        <w:tc>
          <w:tcPr>
            <w:tcW w:w="2880" w:type="dxa"/>
            <w:vAlign w:val="bottom"/>
            <w:gridSpan w:val="6"/>
          </w:tcPr>
          <w:p>
            <w:pPr>
              <w:spacing w:after="0" w:line="143" w:lineRule="exact"/>
              <w:rPr>
                <w:sz w:val="20"/>
                <w:szCs w:val="20"/>
                <w:color w:val="auto"/>
              </w:rPr>
            </w:pPr>
            <w:r>
              <w:rPr>
                <w:rFonts w:ascii="Arial" w:cs="Arial" w:eastAsia="Arial" w:hAnsi="Arial"/>
                <w:sz w:val="14"/>
                <w:szCs w:val="14"/>
                <w:color w:val="0000EE"/>
              </w:rPr>
              <w:t>ended March 31, 2026 and 2025</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6800" w:type="dxa"/>
            <w:vAlign w:val="bottom"/>
            <w:tcBorders>
              <w:top w:val="single" w:sz="8" w:color="0000EE"/>
            </w:tcBorders>
            <w:gridSpan w:val="20"/>
          </w:tcPr>
          <w:p>
            <w:pPr>
              <w:spacing w:after="0" w:line="143" w:lineRule="exact"/>
              <w:rPr>
                <w:sz w:val="20"/>
                <w:szCs w:val="20"/>
                <w:color w:val="auto"/>
              </w:rPr>
            </w:pPr>
            <w:r>
              <w:rPr>
                <w:rFonts w:ascii="Arial" w:cs="Arial" w:eastAsia="Arial" w:hAnsi="Arial"/>
                <w:sz w:val="14"/>
                <w:szCs w:val="14"/>
                <w:color w:val="0000EE"/>
              </w:rPr>
              <w:t>Notes to Unaudited Condensed Consolidated Financial Statements</w:t>
            </w:r>
          </w:p>
        </w:tc>
        <w:tc>
          <w:tcPr>
            <w:tcW w:w="840" w:type="dxa"/>
            <w:vAlign w:val="bottom"/>
            <w:gridSpan w:val="3"/>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2.</w:t>
            </w:r>
          </w:p>
        </w:tc>
        <w:tc>
          <w:tcPr>
            <w:tcW w:w="4280" w:type="dxa"/>
            <w:vAlign w:val="bottom"/>
            <w:tcBorders>
              <w:top w:val="single" w:sz="8" w:color="0000EE"/>
            </w:tcBorders>
            <w:gridSpan w:val="16"/>
          </w:tcPr>
          <w:p>
            <w:pPr>
              <w:spacing w:after="0" w:line="143" w:lineRule="exact"/>
              <w:rPr>
                <w:sz w:val="20"/>
                <w:szCs w:val="20"/>
                <w:color w:val="auto"/>
              </w:rPr>
            </w:pPr>
            <w:r>
              <w:rPr>
                <w:rFonts w:ascii="Arial" w:cs="Arial" w:eastAsia="Arial" w:hAnsi="Arial"/>
                <w:sz w:val="14"/>
                <w:szCs w:val="14"/>
                <w:color w:val="0000EE"/>
              </w:rPr>
              <w:t>Management’s Discussion and Analysis of Financial Condition and</w:t>
            </w:r>
          </w:p>
        </w:tc>
        <w:tc>
          <w:tcPr>
            <w:tcW w:w="3360" w:type="dxa"/>
            <w:vAlign w:val="bottom"/>
            <w:gridSpan w:val="7"/>
          </w:tcPr>
          <w:p>
            <w:pPr>
              <w:spacing w:after="0" w:line="143" w:lineRule="exact"/>
              <w:rPr>
                <w:sz w:val="20"/>
                <w:szCs w:val="20"/>
                <w:color w:val="auto"/>
              </w:rPr>
            </w:pPr>
            <w:r>
              <w:rPr>
                <w:rFonts w:ascii="Arial" w:cs="Arial" w:eastAsia="Arial" w:hAnsi="Arial"/>
                <w:sz w:val="14"/>
                <w:szCs w:val="14"/>
                <w:color w:val="0000EE"/>
              </w:rPr>
              <w:t>Results of Operations</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3.</w:t>
            </w:r>
          </w:p>
        </w:tc>
        <w:tc>
          <w:tcPr>
            <w:tcW w:w="5680" w:type="dxa"/>
            <w:vAlign w:val="bottom"/>
            <w:tcBorders>
              <w:top w:val="single" w:sz="8" w:color="0000EE"/>
            </w:tcBorders>
            <w:gridSpan w:val="19"/>
          </w:tcPr>
          <w:p>
            <w:pPr>
              <w:spacing w:after="0" w:line="143" w:lineRule="exact"/>
              <w:rPr>
                <w:sz w:val="20"/>
                <w:szCs w:val="20"/>
                <w:color w:val="auto"/>
              </w:rPr>
            </w:pPr>
            <w:r>
              <w:rPr>
                <w:rFonts w:ascii="Arial" w:cs="Arial" w:eastAsia="Arial" w:hAnsi="Arial"/>
                <w:sz w:val="14"/>
                <w:szCs w:val="14"/>
                <w:color w:val="0000EE"/>
              </w:rPr>
              <w:t>Quantitative and Qualitative Disclosures About Market Risk</w:t>
            </w:r>
          </w:p>
        </w:tc>
        <w:tc>
          <w:tcPr>
            <w:tcW w:w="1960" w:type="dxa"/>
            <w:vAlign w:val="bottom"/>
            <w:gridSpan w:val="4"/>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4.</w:t>
            </w:r>
          </w:p>
        </w:tc>
        <w:tc>
          <w:tcPr>
            <w:tcW w:w="1600" w:type="dxa"/>
            <w:vAlign w:val="bottom"/>
            <w:tcBorders>
              <w:top w:val="single" w:sz="8" w:color="0000EE"/>
              <w:bottom w:val="single" w:sz="8" w:color="0000EE"/>
            </w:tcBorders>
            <w:gridSpan w:val="9"/>
          </w:tcPr>
          <w:p>
            <w:pPr>
              <w:spacing w:after="0" w:line="143" w:lineRule="exact"/>
              <w:rPr>
                <w:sz w:val="20"/>
                <w:szCs w:val="20"/>
                <w:color w:val="auto"/>
              </w:rPr>
            </w:pPr>
            <w:r>
              <w:rPr>
                <w:rFonts w:ascii="Arial" w:cs="Arial" w:eastAsia="Arial" w:hAnsi="Arial"/>
                <w:sz w:val="14"/>
                <w:szCs w:val="14"/>
                <w:color w:val="0000EE"/>
              </w:rPr>
              <w:t>Controls and Procedures</w:t>
            </w:r>
          </w:p>
        </w:tc>
        <w:tc>
          <w:tcPr>
            <w:tcW w:w="2180" w:type="dxa"/>
            <w:vAlign w:val="bottom"/>
            <w:tcBorders>
              <w:top w:val="single" w:sz="8" w:color="0000EE"/>
            </w:tcBorders>
            <w:gridSpan w:val="4"/>
          </w:tcPr>
          <w:p>
            <w:pPr>
              <w:spacing w:after="0"/>
              <w:rPr>
                <w:sz w:val="12"/>
                <w:szCs w:val="12"/>
                <w:color w:val="auto"/>
              </w:rPr>
            </w:pPr>
          </w:p>
        </w:tc>
        <w:tc>
          <w:tcPr>
            <w:tcW w:w="100" w:type="dxa"/>
            <w:vAlign w:val="bottom"/>
          </w:tcPr>
          <w:p>
            <w:pPr>
              <w:spacing w:after="0"/>
              <w:rPr>
                <w:sz w:val="12"/>
                <w:szCs w:val="12"/>
                <w:color w:val="auto"/>
              </w:rPr>
            </w:pPr>
          </w:p>
        </w:tc>
        <w:tc>
          <w:tcPr>
            <w:tcW w:w="3760" w:type="dxa"/>
            <w:vAlign w:val="bottom"/>
            <w:gridSpan w:val="9"/>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15"/>
        </w:trPr>
        <w:tc>
          <w:tcPr>
            <w:tcW w:w="70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7640" w:type="dxa"/>
            <w:vAlign w:val="bottom"/>
            <w:gridSpan w:val="23"/>
          </w:tcPr>
          <w:p>
            <w:pPr>
              <w:spacing w:after="0"/>
              <w:rPr>
                <w:sz w:val="20"/>
                <w:szCs w:val="20"/>
                <w:color w:val="auto"/>
              </w:rPr>
            </w:pPr>
            <w:r>
              <w:rPr>
                <w:rFonts w:ascii="Arial" w:cs="Arial" w:eastAsia="Arial" w:hAnsi="Arial"/>
                <w:sz w:val="14"/>
                <w:szCs w:val="14"/>
                <w:b w:val="1"/>
                <w:bCs w:val="1"/>
                <w:color w:val="0000EE"/>
              </w:rPr>
              <w:t>OTHER INFORMATION</w:t>
            </w:r>
          </w:p>
        </w:tc>
        <w:tc>
          <w:tcPr>
            <w:tcW w:w="4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1.</w:t>
            </w:r>
          </w:p>
        </w:tc>
        <w:tc>
          <w:tcPr>
            <w:tcW w:w="1560" w:type="dxa"/>
            <w:vAlign w:val="bottom"/>
            <w:tcBorders>
              <w:top w:val="single" w:sz="8" w:color="0000EE"/>
            </w:tcBorders>
            <w:gridSpan w:val="8"/>
          </w:tcPr>
          <w:p>
            <w:pPr>
              <w:spacing w:after="0" w:line="143" w:lineRule="exact"/>
              <w:rPr>
                <w:sz w:val="20"/>
                <w:szCs w:val="20"/>
                <w:color w:val="auto"/>
              </w:rPr>
            </w:pPr>
            <w:r>
              <w:rPr>
                <w:rFonts w:ascii="Arial" w:cs="Arial" w:eastAsia="Arial" w:hAnsi="Arial"/>
                <w:sz w:val="14"/>
                <w:szCs w:val="14"/>
                <w:color w:val="0000EE"/>
              </w:rPr>
              <w:t>Legal Proceedings</w:t>
            </w:r>
          </w:p>
        </w:tc>
        <w:tc>
          <w:tcPr>
            <w:tcW w:w="480" w:type="dxa"/>
            <w:vAlign w:val="bottom"/>
            <w:gridSpan w:val="3"/>
          </w:tcPr>
          <w:p>
            <w:pPr>
              <w:spacing w:after="0"/>
              <w:rPr>
                <w:sz w:val="12"/>
                <w:szCs w:val="12"/>
                <w:color w:val="auto"/>
              </w:rPr>
            </w:pPr>
          </w:p>
        </w:tc>
        <w:tc>
          <w:tcPr>
            <w:tcW w:w="1840" w:type="dxa"/>
            <w:vAlign w:val="bottom"/>
            <w:gridSpan w:val="3"/>
          </w:tcPr>
          <w:p>
            <w:pPr>
              <w:spacing w:after="0"/>
              <w:rPr>
                <w:sz w:val="12"/>
                <w:szCs w:val="12"/>
                <w:color w:val="auto"/>
              </w:rPr>
            </w:pPr>
          </w:p>
        </w:tc>
        <w:tc>
          <w:tcPr>
            <w:tcW w:w="3760" w:type="dxa"/>
            <w:vAlign w:val="bottom"/>
            <w:gridSpan w:val="9"/>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1A.</w:t>
            </w:r>
          </w:p>
        </w:tc>
        <w:tc>
          <w:tcPr>
            <w:tcW w:w="1200" w:type="dxa"/>
            <w:vAlign w:val="bottom"/>
            <w:tcBorders>
              <w:top w:val="single" w:sz="8" w:color="0000EE"/>
            </w:tcBorders>
            <w:gridSpan w:val="6"/>
          </w:tcPr>
          <w:p>
            <w:pPr>
              <w:spacing w:after="0" w:line="143" w:lineRule="exact"/>
              <w:rPr>
                <w:sz w:val="20"/>
                <w:szCs w:val="20"/>
                <w:color w:val="auto"/>
              </w:rPr>
            </w:pPr>
            <w:r>
              <w:rPr>
                <w:rFonts w:ascii="Arial" w:cs="Arial" w:eastAsia="Arial" w:hAnsi="Arial"/>
                <w:sz w:val="14"/>
                <w:szCs w:val="14"/>
                <w:color w:val="0000EE"/>
              </w:rPr>
              <w:t>Risk Factors</w:t>
            </w:r>
          </w:p>
        </w:tc>
        <w:tc>
          <w:tcPr>
            <w:tcW w:w="340" w:type="dxa"/>
            <w:vAlign w:val="bottom"/>
          </w:tcPr>
          <w:p>
            <w:pPr>
              <w:spacing w:after="0"/>
              <w:rPr>
                <w:sz w:val="12"/>
                <w:szCs w:val="12"/>
                <w:color w:val="auto"/>
              </w:rPr>
            </w:pPr>
          </w:p>
        </w:tc>
        <w:tc>
          <w:tcPr>
            <w:tcW w:w="500" w:type="dxa"/>
            <w:vAlign w:val="bottom"/>
            <w:gridSpan w:val="4"/>
          </w:tcPr>
          <w:p>
            <w:pPr>
              <w:spacing w:after="0"/>
              <w:rPr>
                <w:sz w:val="12"/>
                <w:szCs w:val="12"/>
                <w:color w:val="auto"/>
              </w:rPr>
            </w:pPr>
          </w:p>
        </w:tc>
        <w:tc>
          <w:tcPr>
            <w:tcW w:w="1840" w:type="dxa"/>
            <w:vAlign w:val="bottom"/>
            <w:gridSpan w:val="3"/>
          </w:tcPr>
          <w:p>
            <w:pPr>
              <w:spacing w:after="0"/>
              <w:rPr>
                <w:sz w:val="12"/>
                <w:szCs w:val="12"/>
                <w:color w:val="auto"/>
              </w:rPr>
            </w:pPr>
          </w:p>
        </w:tc>
        <w:tc>
          <w:tcPr>
            <w:tcW w:w="3760" w:type="dxa"/>
            <w:vAlign w:val="bottom"/>
            <w:gridSpan w:val="9"/>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2.</w:t>
            </w:r>
          </w:p>
        </w:tc>
        <w:tc>
          <w:tcPr>
            <w:tcW w:w="800" w:type="dxa"/>
            <w:vAlign w:val="bottom"/>
            <w:tcBorders>
              <w:top w:val="single" w:sz="8" w:color="0000EE"/>
            </w:tcBorders>
            <w:gridSpan w:val="2"/>
          </w:tcPr>
          <w:p>
            <w:pPr>
              <w:spacing w:after="0" w:line="143" w:lineRule="exact"/>
              <w:rPr>
                <w:sz w:val="20"/>
                <w:szCs w:val="20"/>
                <w:color w:val="auto"/>
              </w:rPr>
            </w:pPr>
            <w:r>
              <w:rPr>
                <w:rFonts w:ascii="Arial" w:cs="Arial" w:eastAsia="Arial" w:hAnsi="Arial"/>
                <w:sz w:val="14"/>
                <w:szCs w:val="14"/>
                <w:color w:val="0000EE"/>
                <w:w w:val="97"/>
              </w:rPr>
              <w:t>Unregistered</w:t>
            </w:r>
          </w:p>
        </w:tc>
        <w:tc>
          <w:tcPr>
            <w:tcW w:w="6840" w:type="dxa"/>
            <w:vAlign w:val="bottom"/>
            <w:gridSpan w:val="21"/>
          </w:tcPr>
          <w:p>
            <w:pPr>
              <w:ind w:left="60"/>
              <w:spacing w:after="0" w:line="143" w:lineRule="exact"/>
              <w:rPr>
                <w:sz w:val="20"/>
                <w:szCs w:val="20"/>
                <w:color w:val="auto"/>
              </w:rPr>
            </w:pPr>
            <w:r>
              <w:rPr>
                <w:rFonts w:ascii="Arial" w:cs="Arial" w:eastAsia="Arial" w:hAnsi="Arial"/>
                <w:sz w:val="14"/>
                <w:szCs w:val="14"/>
                <w:color w:val="0000EE"/>
              </w:rPr>
              <w:t>Sales of Equity Securities and Use of Proceeds</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3.</w:t>
            </w:r>
          </w:p>
        </w:tc>
        <w:tc>
          <w:tcPr>
            <w:tcW w:w="3880" w:type="dxa"/>
            <w:vAlign w:val="bottom"/>
            <w:tcBorders>
              <w:top w:val="single" w:sz="8" w:color="0000EE"/>
            </w:tcBorders>
            <w:gridSpan w:val="14"/>
          </w:tcPr>
          <w:p>
            <w:pPr>
              <w:spacing w:after="0" w:line="143" w:lineRule="exact"/>
              <w:rPr>
                <w:sz w:val="20"/>
                <w:szCs w:val="20"/>
                <w:color w:val="auto"/>
              </w:rPr>
            </w:pPr>
            <w:r>
              <w:rPr>
                <w:rFonts w:ascii="Arial" w:cs="Arial" w:eastAsia="Arial" w:hAnsi="Arial"/>
                <w:sz w:val="14"/>
                <w:szCs w:val="14"/>
                <w:color w:val="0000EE"/>
              </w:rPr>
              <w:t>Defaults Upon Senior Securities</w:t>
            </w:r>
          </w:p>
        </w:tc>
        <w:tc>
          <w:tcPr>
            <w:tcW w:w="3760" w:type="dxa"/>
            <w:vAlign w:val="bottom"/>
            <w:gridSpan w:val="9"/>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4.</w:t>
            </w:r>
          </w:p>
        </w:tc>
        <w:tc>
          <w:tcPr>
            <w:tcW w:w="2040" w:type="dxa"/>
            <w:vAlign w:val="bottom"/>
            <w:tcBorders>
              <w:top w:val="single" w:sz="8" w:color="0000EE"/>
            </w:tcBorders>
            <w:gridSpan w:val="11"/>
          </w:tcPr>
          <w:p>
            <w:pPr>
              <w:spacing w:after="0" w:line="143" w:lineRule="exact"/>
              <w:rPr>
                <w:sz w:val="20"/>
                <w:szCs w:val="20"/>
                <w:color w:val="auto"/>
              </w:rPr>
            </w:pPr>
            <w:r>
              <w:rPr>
                <w:rFonts w:ascii="Arial" w:cs="Arial" w:eastAsia="Arial" w:hAnsi="Arial"/>
                <w:sz w:val="14"/>
                <w:szCs w:val="14"/>
                <w:color w:val="0000EE"/>
              </w:rPr>
              <w:t>Mine Safety Disclosures</w:t>
            </w:r>
          </w:p>
        </w:tc>
        <w:tc>
          <w:tcPr>
            <w:tcW w:w="5600" w:type="dxa"/>
            <w:vAlign w:val="bottom"/>
            <w:gridSpan w:val="12"/>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5.</w:t>
            </w:r>
          </w:p>
        </w:tc>
        <w:tc>
          <w:tcPr>
            <w:tcW w:w="1540" w:type="dxa"/>
            <w:vAlign w:val="bottom"/>
            <w:tcBorders>
              <w:top w:val="single" w:sz="8" w:color="0000EE"/>
            </w:tcBorders>
            <w:gridSpan w:val="7"/>
          </w:tcPr>
          <w:p>
            <w:pPr>
              <w:spacing w:after="0" w:line="143" w:lineRule="exact"/>
              <w:rPr>
                <w:sz w:val="20"/>
                <w:szCs w:val="20"/>
                <w:color w:val="auto"/>
              </w:rPr>
            </w:pPr>
            <w:r>
              <w:rPr>
                <w:rFonts w:ascii="Arial" w:cs="Arial" w:eastAsia="Arial" w:hAnsi="Arial"/>
                <w:sz w:val="14"/>
                <w:szCs w:val="14"/>
                <w:color w:val="0000EE"/>
              </w:rPr>
              <w:t>Other Information</w:t>
            </w:r>
          </w:p>
        </w:tc>
        <w:tc>
          <w:tcPr>
            <w:tcW w:w="6100" w:type="dxa"/>
            <w:vAlign w:val="bottom"/>
            <w:gridSpan w:val="16"/>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2"/>
        </w:trPr>
        <w:tc>
          <w:tcPr>
            <w:tcW w:w="700" w:type="dxa"/>
            <w:vAlign w:val="bottom"/>
          </w:tcPr>
          <w:p>
            <w:pPr>
              <w:spacing w:after="0" w:line="143" w:lineRule="exact"/>
              <w:rPr>
                <w:sz w:val="20"/>
                <w:szCs w:val="20"/>
                <w:color w:val="auto"/>
              </w:rPr>
            </w:pPr>
            <w:r>
              <w:rPr>
                <w:rFonts w:ascii="Arial" w:cs="Arial" w:eastAsia="Arial" w:hAnsi="Arial"/>
                <w:sz w:val="14"/>
                <w:szCs w:val="14"/>
                <w:color w:val="auto"/>
              </w:rPr>
              <w:t>Item 6.</w:t>
            </w:r>
          </w:p>
        </w:tc>
        <w:tc>
          <w:tcPr>
            <w:tcW w:w="1120" w:type="dxa"/>
            <w:vAlign w:val="bottom"/>
            <w:tcBorders>
              <w:top w:val="single" w:sz="8" w:color="0000EE"/>
            </w:tcBorders>
            <w:gridSpan w:val="5"/>
          </w:tcPr>
          <w:p>
            <w:pPr>
              <w:spacing w:after="0" w:line="143" w:lineRule="exact"/>
              <w:rPr>
                <w:sz w:val="20"/>
                <w:szCs w:val="20"/>
                <w:color w:val="auto"/>
              </w:rPr>
            </w:pPr>
            <w:r>
              <w:rPr>
                <w:rFonts w:ascii="Arial" w:cs="Arial" w:eastAsia="Arial" w:hAnsi="Arial"/>
                <w:sz w:val="14"/>
                <w:szCs w:val="14"/>
                <w:color w:val="0000EE"/>
              </w:rPr>
              <w:t>Exhibits</w:t>
            </w:r>
          </w:p>
        </w:tc>
        <w:tc>
          <w:tcPr>
            <w:tcW w:w="6520" w:type="dxa"/>
            <w:vAlign w:val="bottom"/>
            <w:gridSpan w:val="18"/>
          </w:tcPr>
          <w:p>
            <w:pPr>
              <w:spacing w:after="0"/>
              <w:rPr>
                <w:sz w:val="12"/>
                <w:szCs w:val="12"/>
                <w:color w:val="auto"/>
              </w:rPr>
            </w:pP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315"/>
        </w:trPr>
        <w:tc>
          <w:tcPr>
            <w:tcW w:w="700" w:type="dxa"/>
            <w:vAlign w:val="bottom"/>
            <w:tcBorders>
              <w:bottom w:val="single" w:sz="8" w:color="0000EE"/>
            </w:tcBorders>
          </w:tcPr>
          <w:p>
            <w:pPr>
              <w:spacing w:after="0"/>
              <w:rPr>
                <w:sz w:val="20"/>
                <w:szCs w:val="20"/>
                <w:color w:val="auto"/>
              </w:rPr>
            </w:pPr>
            <w:r>
              <w:rPr>
                <w:rFonts w:ascii="Arial" w:cs="Arial" w:eastAsia="Arial" w:hAnsi="Arial"/>
                <w:sz w:val="14"/>
                <w:szCs w:val="14"/>
                <w:color w:val="0000EE"/>
              </w:rPr>
              <w:t>Signatures</w:t>
            </w:r>
          </w:p>
        </w:tc>
        <w:tc>
          <w:tcPr>
            <w:tcW w:w="5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3780" w:type="dxa"/>
            <w:vAlign w:val="bottom"/>
            <w:gridSpan w:val="13"/>
          </w:tcPr>
          <w:p>
            <w:pPr>
              <w:ind w:left="36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74" w:lineRule="exact"/>
        <w:rPr>
          <w:sz w:val="20"/>
          <w:szCs w:val="20"/>
          <w:color w:val="auto"/>
        </w:rPr>
      </w:pPr>
    </w:p>
    <w:p>
      <w:pPr>
        <w:ind w:left="1220" w:right="199"/>
        <w:spacing w:after="0" w:line="249" w:lineRule="auto"/>
        <w:rPr>
          <w:sz w:val="20"/>
          <w:szCs w:val="20"/>
          <w:color w:val="auto"/>
        </w:rPr>
      </w:pPr>
      <w:r>
        <w:rPr>
          <w:rFonts w:ascii="Arial" w:cs="Arial" w:eastAsia="Arial" w:hAnsi="Arial"/>
          <w:sz w:val="14"/>
          <w:szCs w:val="14"/>
          <w:color w:val="auto"/>
        </w:rPr>
        <w:t>This Quarterly Report on Form 10-Q, or this Quarterly Report, contains forward-looking statements within the meaning of the U.S. Private Securities Litigation Reform Act and Section 21E of the Securities Exchange Act of 1934, as amended, that involve substantial risk and uncertainties. All statements, other than statements of historical fact, contained in this Quarterly Report, including statements regarding our strategy, future operations, future financial position, future revenue, projected costs, prospects, plans and objectives of management, are forward-looking statements. The words “anticipate,” “believe,” “contemplate,” “continue,” “could,” “estimate,” “expect,” “intend,” “may,” “might,” “plan,” “potential,” “predict,” “project,” “should,” “target,” “will,” “would,” or the negative of these words or other similar expressions are intended to identify forward-looking statements, although not all forward-looking statements contain these identifying words.</w:t>
      </w:r>
    </w:p>
    <w:p>
      <w:pPr>
        <w:spacing w:after="0" w:line="140"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forward-looking statements in this Quarterly Report include, among other things, statements about:</w:t>
      </w:r>
    </w:p>
    <w:p>
      <w:pPr>
        <w:spacing w:after="0" w:line="99" w:lineRule="exact"/>
        <w:rPr>
          <w:sz w:val="20"/>
          <w:szCs w:val="20"/>
          <w:color w:val="auto"/>
        </w:rPr>
      </w:pPr>
    </w:p>
    <w:p>
      <w:pPr>
        <w:ind w:left="2000" w:right="11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initiation, timing, progress and results of our research and development programs and preclinical studies and clinical trials, including the timing of our planned Phase 3 clinical trial of sutacimig in patients with Glanzmann thrombasthenia;</w:t>
      </w:r>
    </w:p>
    <w:p>
      <w:pPr>
        <w:spacing w:after="0" w:line="39" w:lineRule="exact"/>
        <w:rPr>
          <w:rFonts w:ascii="Arial" w:cs="Arial" w:eastAsia="Arial" w:hAnsi="Arial"/>
          <w:sz w:val="14"/>
          <w:szCs w:val="14"/>
          <w:color w:val="auto"/>
        </w:rPr>
      </w:pPr>
    </w:p>
    <w:p>
      <w:pPr>
        <w:ind w:left="2000" w:right="239" w:hanging="338"/>
        <w:spacing w:after="0" w:line="263"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need for additional financing and the period over which we believe our cash, cash equivalents, and marketable securities will be sufficient to fund our operating expenses and capital expenditure requirements;</w:t>
      </w:r>
    </w:p>
    <w:p>
      <w:pPr>
        <w:spacing w:after="0" w:line="55"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timing of and our ability to complete clinical development of, submit applications for and obtain and maintain regulatory approvals for our current and future product candidates;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potential advantages of our current and future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plans to develop and, if approved, subsequently commercialize any product candidates we may develop;</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our products, if approved;</w:t>
      </w:r>
    </w:p>
    <w:p>
      <w:pPr>
        <w:spacing w:after="0" w:line="98" w:lineRule="exact"/>
        <w:rPr>
          <w:rFonts w:ascii="Arial" w:cs="Arial" w:eastAsia="Arial" w:hAnsi="Arial"/>
          <w:sz w:val="14"/>
          <w:szCs w:val="14"/>
          <w:color w:val="auto"/>
        </w:rPr>
      </w:pPr>
    </w:p>
    <w:p>
      <w:pPr>
        <w:ind w:left="2000" w:right="13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estimates regarding the addressable patient population and potential market opportunity for our current and future product candidates;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8"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and to remain in compliance with our existing license agreements;</w:t>
      </w:r>
    </w:p>
    <w:p>
      <w:pPr>
        <w:spacing w:after="0" w:line="39" w:lineRule="exact"/>
        <w:rPr>
          <w:rFonts w:ascii="Arial" w:cs="Arial" w:eastAsia="Arial" w:hAnsi="Arial"/>
          <w:sz w:val="14"/>
          <w:szCs w:val="14"/>
          <w:color w:val="auto"/>
        </w:rPr>
      </w:pPr>
    </w:p>
    <w:p>
      <w:pPr>
        <w:ind w:left="2000" w:right="43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identify additional products, product candidates or technologies with significant commercial potential that are consistent with our commercial objectives;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attract and retain key scientific and management personnel;</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milestone and/or royalty payments under any of our current or future license agreements;</w:t>
      </w:r>
    </w:p>
    <w:p>
      <w:pPr>
        <w:spacing w:after="0" w:line="98" w:lineRule="exact"/>
        <w:rPr>
          <w:rFonts w:ascii="Arial" w:cs="Arial" w:eastAsia="Arial" w:hAnsi="Arial"/>
          <w:sz w:val="14"/>
          <w:szCs w:val="14"/>
          <w:color w:val="auto"/>
        </w:rPr>
      </w:pPr>
    </w:p>
    <w:p>
      <w:pPr>
        <w:ind w:left="2000" w:right="57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government laws and regulations, including any new regulatory requirements in the countries in which we operate;</w:t>
      </w:r>
    </w:p>
    <w:p>
      <w:pPr>
        <w:spacing w:after="0" w:line="39" w:lineRule="exact"/>
        <w:rPr>
          <w:rFonts w:ascii="Arial" w:cs="Arial" w:eastAsia="Arial" w:hAnsi="Arial"/>
          <w:sz w:val="14"/>
          <w:szCs w:val="14"/>
          <w:color w:val="auto"/>
        </w:rPr>
      </w:pPr>
    </w:p>
    <w:p>
      <w:pPr>
        <w:ind w:left="2000" w:right="63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competitive position and expectations regarding developments and projections relating to our competitors and any competing therapies that are or become available;</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developments relating to our competitors and our industry;</w:t>
      </w:r>
    </w:p>
    <w:p>
      <w:pPr>
        <w:spacing w:after="0" w:line="98" w:lineRule="exact"/>
        <w:rPr>
          <w:rFonts w:ascii="Arial" w:cs="Arial" w:eastAsia="Arial" w:hAnsi="Arial"/>
          <w:sz w:val="14"/>
          <w:szCs w:val="14"/>
          <w:color w:val="auto"/>
        </w:rPr>
      </w:pPr>
    </w:p>
    <w:p>
      <w:pPr>
        <w:ind w:left="2000" w:right="19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reliance on and the performance of third parties that conduct clinical trials of our product candidates and manufacture our product candidates;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identify, establish and maintain collaborations or obtain additional funding;</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general economic, industry and market conditions, including rising interest rates, inflation and tariffs; and</w:t>
      </w:r>
    </w:p>
    <w:p>
      <w:pPr>
        <w:spacing w:after="0" w:line="98"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expectations regarding the time during which we will be an emerging growth company under the JOBS Act or a smaller reporting company.</w:t>
      </w:r>
    </w:p>
    <w:p>
      <w:pPr>
        <w:spacing w:after="0" w:line="6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159"/>
          </w:cols>
          <w:pgMar w:left="300" w:top="415"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spacing w:after="0" w:line="246" w:lineRule="auto"/>
        <w:rPr>
          <w:sz w:val="20"/>
          <w:szCs w:val="20"/>
          <w:color w:val="auto"/>
        </w:rPr>
      </w:pPr>
      <w:r>
        <w:rPr>
          <w:rFonts w:ascii="Arial" w:cs="Arial" w:eastAsia="Arial" w:hAnsi="Arial"/>
          <w:sz w:val="14"/>
          <w:szCs w:val="14"/>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this Quarterly Report, particularly in Item 1A. “Risk Factors” in this Quarterly Report, that we believe could cause actual results or events to differ materially from the forward-looking statements that we make. Moreover, we operate in a competitive and rapidly changing environment. New risk factors and uncertainties may emerge from time to time, and it is not possible for us to predict all risk factors and uncertainties that could have an impact on us, nor can we assess the impact of all factors on our business or the extent to which any factor, or combination of factors, may cause actual results to differ materially from those contained in any forward-looking statements we may make. Our forward-looking statements do not reflect the potential impact of any future acquisitions, mergers, dispositions, collaborations, joint ventures or investments we may make or enter into.</w:t>
      </w:r>
    </w:p>
    <w:p>
      <w:pPr>
        <w:spacing w:after="0" w:line="311" w:lineRule="exact"/>
        <w:rPr>
          <w:sz w:val="20"/>
          <w:szCs w:val="20"/>
          <w:color w:val="auto"/>
        </w:rPr>
      </w:pPr>
    </w:p>
    <w:p>
      <w:pPr>
        <w:ind w:left="1220" w:right="319"/>
        <w:spacing w:after="0" w:line="252" w:lineRule="auto"/>
        <w:rPr>
          <w:sz w:val="20"/>
          <w:szCs w:val="20"/>
          <w:color w:val="auto"/>
        </w:rPr>
      </w:pPr>
      <w:r>
        <w:rPr>
          <w:rFonts w:ascii="Arial" w:cs="Arial" w:eastAsia="Arial" w:hAnsi="Arial"/>
          <w:sz w:val="14"/>
          <w:szCs w:val="14"/>
          <w:color w:val="auto"/>
        </w:rPr>
        <w:t>You should read this Quarterly Report and the documents that we have filed or incorporated by reference as exhibits to this Quarterly Report with the understanding that our actual future results may be materially different from what we expect. The forward-looking statements contained in this Quarterly Report are made as of the date of this Quarterly Report, and we do not assume any obligation to update any forward-looking statements, whether as a result of new information, future events or otherwise, except as required by applicable law.</w:t>
      </w:r>
    </w:p>
    <w:p>
      <w:pPr>
        <w:spacing w:after="0" w:line="85"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59"/>
          </w:cols>
          <w:pgMar w:left="300" w:top="415"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RISK FACTOR SUMMARY</w:t>
      </w:r>
    </w:p>
    <w:p>
      <w:pPr>
        <w:spacing w:after="0" w:line="174" w:lineRule="exact"/>
        <w:rPr>
          <w:sz w:val="20"/>
          <w:szCs w:val="20"/>
          <w:color w:val="auto"/>
        </w:rPr>
      </w:pPr>
    </w:p>
    <w:p>
      <w:pPr>
        <w:ind w:left="1220" w:right="119"/>
        <w:spacing w:after="0" w:line="263" w:lineRule="auto"/>
        <w:rPr>
          <w:sz w:val="20"/>
          <w:szCs w:val="20"/>
          <w:color w:val="auto"/>
        </w:rPr>
      </w:pPr>
      <w:r>
        <w:rPr>
          <w:rFonts w:ascii="Arial" w:cs="Arial" w:eastAsia="Arial" w:hAnsi="Arial"/>
          <w:sz w:val="14"/>
          <w:szCs w:val="14"/>
          <w:color w:val="auto"/>
        </w:rPr>
        <w:t>Our business is subject to a number of risks that, if realized, could materially affect our business, prospects, operating results and financial condition. These risks are discussed more fully in the “Risk Factors” section of this Quarterly Report. These risks include, but are not limited to, the following:</w:t>
      </w:r>
    </w:p>
    <w:p>
      <w:pPr>
        <w:spacing w:after="0" w:line="55" w:lineRule="exact"/>
        <w:rPr>
          <w:sz w:val="20"/>
          <w:szCs w:val="20"/>
          <w:color w:val="auto"/>
        </w:rPr>
      </w:pPr>
    </w:p>
    <w:p>
      <w:pPr>
        <w:ind w:left="2000" w:right="11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incurred significant losses since our inception and have no products approved for sale. We expect to incur significant losses for the foreseeable future and may never achieve or maintain profitability.</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have never generated revenue from product sales and may never achieve or maintain profitability.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heavily dependent on the success of sutacimig and HMB-002, which are our only clinical-stage product candidates.</w:t>
      </w:r>
    </w:p>
    <w:p>
      <w:pPr>
        <w:spacing w:after="0" w:line="98"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39" w:lineRule="exact"/>
        <w:rPr>
          <w:rFonts w:ascii="Arial" w:cs="Arial" w:eastAsia="Arial" w:hAnsi="Arial"/>
          <w:sz w:val="14"/>
          <w:szCs w:val="14"/>
          <w:color w:val="auto"/>
        </w:rPr>
      </w:pPr>
    </w:p>
    <w:p>
      <w:pPr>
        <w:ind w:left="2000" w:right="41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limited operating history may make it difficult to evaluate the success of our business to date and to assess our future viability.</w:t>
      </w:r>
    </w:p>
    <w:p>
      <w:pPr>
        <w:spacing w:after="0" w:line="39" w:lineRule="exact"/>
        <w:rPr>
          <w:rFonts w:ascii="Arial" w:cs="Arial" w:eastAsia="Arial" w:hAnsi="Arial"/>
          <w:sz w:val="14"/>
          <w:szCs w:val="14"/>
          <w:color w:val="auto"/>
        </w:rPr>
      </w:pPr>
    </w:p>
    <w:p>
      <w:pPr>
        <w:ind w:left="2000" w:right="159" w:hanging="338"/>
        <w:spacing w:after="0" w:line="263"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early in our clinical development efforts. If we are unable to successfully complete clinical development, obtain marketing approval for, and ultimately commercialize our product candidates, or experience significant delays in doing so, our business will be materially harmed.</w:t>
      </w:r>
    </w:p>
    <w:p>
      <w:pPr>
        <w:spacing w:after="0" w:line="55" w:lineRule="exact"/>
        <w:rPr>
          <w:rFonts w:ascii="Arial" w:cs="Arial" w:eastAsia="Arial" w:hAnsi="Arial"/>
          <w:sz w:val="14"/>
          <w:szCs w:val="14"/>
          <w:color w:val="auto"/>
        </w:rPr>
      </w:pPr>
    </w:p>
    <w:p>
      <w:pPr>
        <w:ind w:left="2000" w:right="219" w:hanging="338"/>
        <w:spacing w:after="0" w:line="263"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55"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outcome of preclinical studies and earlier-stage clinical trials may not be predictive of the success of later-stage clinical trials.</w:t>
      </w:r>
    </w:p>
    <w:p>
      <w:pPr>
        <w:spacing w:after="0" w:line="39" w:lineRule="exact"/>
        <w:rPr>
          <w:rFonts w:ascii="Arial" w:cs="Arial" w:eastAsia="Arial" w:hAnsi="Arial"/>
          <w:sz w:val="14"/>
          <w:szCs w:val="14"/>
          <w:color w:val="auto"/>
        </w:rPr>
      </w:pPr>
    </w:p>
    <w:p>
      <w:pPr>
        <w:ind w:left="2000" w:right="199" w:hanging="338"/>
        <w:spacing w:after="0" w:line="263"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55" w:lineRule="exact"/>
        <w:rPr>
          <w:rFonts w:ascii="Arial" w:cs="Arial" w:eastAsia="Arial" w:hAnsi="Arial"/>
          <w:sz w:val="14"/>
          <w:szCs w:val="14"/>
          <w:color w:val="auto"/>
        </w:rPr>
      </w:pPr>
    </w:p>
    <w:p>
      <w:pPr>
        <w:ind w:left="2000" w:right="15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engage in future acquisitions, this may increase our capital requirements, dilute our stockholders, cause us to incur debt or assume contingent liabilities, and subject us to other risks.</w:t>
      </w:r>
    </w:p>
    <w:p>
      <w:pPr>
        <w:spacing w:after="0" w:line="39" w:lineRule="exact"/>
        <w:rPr>
          <w:rFonts w:ascii="Arial" w:cs="Arial" w:eastAsia="Arial" w:hAnsi="Arial"/>
          <w:sz w:val="14"/>
          <w:szCs w:val="14"/>
          <w:color w:val="auto"/>
        </w:rPr>
      </w:pPr>
    </w:p>
    <w:p>
      <w:pPr>
        <w:ind w:left="2000" w:right="67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39" w:lineRule="exact"/>
        <w:rPr>
          <w:rFonts w:ascii="Arial" w:cs="Arial" w:eastAsia="Arial" w:hAnsi="Arial"/>
          <w:sz w:val="14"/>
          <w:szCs w:val="14"/>
          <w:color w:val="auto"/>
        </w:rPr>
      </w:pPr>
    </w:p>
    <w:p>
      <w:pPr>
        <w:ind w:left="2000" w:right="37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substantial competition, which may result in others discovering, developing or commercializing products before or more successfully than we do.</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39" w:lineRule="exact"/>
        <w:rPr>
          <w:rFonts w:ascii="Arial" w:cs="Arial" w:eastAsia="Arial" w:hAnsi="Arial"/>
          <w:sz w:val="14"/>
          <w:szCs w:val="14"/>
          <w:color w:val="auto"/>
        </w:rPr>
      </w:pPr>
    </w:p>
    <w:p>
      <w:pPr>
        <w:ind w:left="2000" w:right="259" w:hanging="338"/>
        <w:spacing w:after="0" w:line="252"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63" w:lineRule="exact"/>
        <w:rPr>
          <w:rFonts w:ascii="Arial" w:cs="Arial" w:eastAsia="Arial" w:hAnsi="Arial"/>
          <w:sz w:val="14"/>
          <w:szCs w:val="14"/>
          <w:color w:val="auto"/>
        </w:rPr>
      </w:pPr>
    </w:p>
    <w:p>
      <w:pPr>
        <w:ind w:left="2000" w:right="319" w:hanging="338"/>
        <w:spacing w:after="0" w:line="263"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55" w:lineRule="exact"/>
        <w:rPr>
          <w:rFonts w:ascii="Arial" w:cs="Arial" w:eastAsia="Arial" w:hAnsi="Arial"/>
          <w:sz w:val="14"/>
          <w:szCs w:val="14"/>
          <w:color w:val="auto"/>
        </w:rPr>
      </w:pPr>
    </w:p>
    <w:p>
      <w:pPr>
        <w:ind w:left="2000" w:right="379" w:hanging="338"/>
        <w:spacing w:after="0" w:line="263" w:lineRule="auto"/>
        <w:tabs>
          <w:tab w:leader="none" w:pos="2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fail to comply with our obligations under our existing license agreements with Novo Nordisk A/S and Genmab A/S, or under any future intellectual property licenses, or otherwise experience disruptions to our business relationships with our current or any future licensors, we could lose intellectual property rights that are important to our business.</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159"/>
          </w:cols>
          <w:pgMar w:left="300" w:top="415"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219" w:hanging="338"/>
        <w:spacing w:after="0" w:line="256" w:lineRule="auto"/>
        <w:tabs>
          <w:tab w:leader="none" w:pos="2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59" w:lineRule="exact"/>
        <w:rPr>
          <w:rFonts w:ascii="Arial" w:cs="Arial" w:eastAsia="Arial" w:hAnsi="Arial"/>
          <w:sz w:val="14"/>
          <w:szCs w:val="14"/>
          <w:color w:val="auto"/>
        </w:rPr>
      </w:pPr>
    </w:p>
    <w:p>
      <w:pPr>
        <w:ind w:left="2000" w:right="139" w:hanging="338"/>
        <w:spacing w:after="0" w:line="256" w:lineRule="auto"/>
        <w:tabs>
          <w:tab w:leader="none" w:pos="2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59" w:lineRule="exact"/>
        <w:rPr>
          <w:rFonts w:ascii="Arial" w:cs="Arial" w:eastAsia="Arial" w:hAnsi="Arial"/>
          <w:sz w:val="14"/>
          <w:szCs w:val="14"/>
          <w:color w:val="auto"/>
        </w:rPr>
      </w:pPr>
    </w:p>
    <w:p>
      <w:pPr>
        <w:ind w:left="2000" w:right="99" w:hanging="338"/>
        <w:spacing w:after="0" w:line="256" w:lineRule="auto"/>
        <w:tabs>
          <w:tab w:leader="none" w:pos="2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59" w:lineRule="exact"/>
        <w:rPr>
          <w:rFonts w:ascii="Arial" w:cs="Arial" w:eastAsia="Arial" w:hAnsi="Arial"/>
          <w:sz w:val="14"/>
          <w:szCs w:val="14"/>
          <w:color w:val="auto"/>
        </w:rPr>
      </w:pPr>
    </w:p>
    <w:p>
      <w:pPr>
        <w:ind w:left="2000" w:hanging="338"/>
        <w:spacing w:after="0"/>
        <w:tabs>
          <w:tab w:leader="none" w:pos="20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An active trading market for our common stock may not continue to develop or be sustained.</w:t>
      </w:r>
    </w:p>
    <w:p>
      <w:pPr>
        <w:spacing w:after="0" w:line="12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159"/>
          </w:cols>
          <w:pgMar w:left="300" w:top="415"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PART I—FINANCIAL INFORMATION</w:t>
      </w:r>
    </w:p>
    <w:p>
      <w:pPr>
        <w:spacing w:after="0" w:line="88"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Item 1. Condensed Consolidated Financial Statements (Unaudited)</w:t>
      </w:r>
    </w:p>
    <w:p>
      <w:pPr>
        <w:spacing w:after="0" w:line="174"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HEMAB THERAPEUTICS HOLDINGS, INC.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 thousands, except share and per share amounts)</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(unaudited)</w:t>
      </w:r>
    </w:p>
    <w:p>
      <w:pPr>
        <w:spacing w:after="0" w:line="180"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March 31,</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r>
      <w:tr>
        <w:trPr>
          <w:trHeight w:val="138"/>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2"/>
                <w:szCs w:val="12"/>
                <w:b w:val="1"/>
                <w:bCs w:val="1"/>
                <w:color w:val="auto"/>
              </w:rPr>
              <w:t>2026</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49,860</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87,974</w:t>
            </w:r>
          </w:p>
        </w:tc>
      </w:tr>
      <w:tr>
        <w:trPr>
          <w:trHeight w:val="162"/>
        </w:trPr>
        <w:tc>
          <w:tcPr>
            <w:tcW w:w="20" w:type="dxa"/>
            <w:vAlign w:val="bottom"/>
          </w:tcPr>
          <w:p>
            <w:pPr>
              <w:spacing w:after="0"/>
              <w:rPr>
                <w:sz w:val="14"/>
                <w:szCs w:val="14"/>
                <w:color w:val="auto"/>
              </w:rPr>
            </w:pPr>
          </w:p>
        </w:tc>
        <w:tc>
          <w:tcPr>
            <w:tcW w:w="6960" w:type="dxa"/>
            <w:vAlign w:val="bottom"/>
          </w:tcPr>
          <w:p>
            <w:pPr>
              <w:ind w:left="280"/>
              <w:spacing w:after="0"/>
              <w:rPr>
                <w:sz w:val="20"/>
                <w:szCs w:val="20"/>
                <w:color w:val="auto"/>
              </w:rPr>
            </w:pPr>
            <w:r>
              <w:rPr>
                <w:rFonts w:ascii="Arial" w:cs="Arial" w:eastAsia="Arial" w:hAnsi="Arial"/>
                <w:sz w:val="14"/>
                <w:szCs w:val="14"/>
                <w:color w:val="auto"/>
              </w:rPr>
              <w:t>Marketable securities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113,671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97,511</w:t>
            </w: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5,900</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7,066</w:t>
            </w:r>
          </w:p>
        </w:tc>
      </w:tr>
      <w:tr>
        <w:trPr>
          <w:trHeight w:val="166"/>
        </w:trPr>
        <w:tc>
          <w:tcPr>
            <w:tcW w:w="20" w:type="dxa"/>
            <w:vAlign w:val="bottom"/>
          </w:tcPr>
          <w:p>
            <w:pPr>
              <w:spacing w:after="0"/>
              <w:rPr>
                <w:sz w:val="14"/>
                <w:szCs w:val="14"/>
                <w:color w:val="auto"/>
              </w:rPr>
            </w:pPr>
          </w:p>
        </w:tc>
        <w:tc>
          <w:tcPr>
            <w:tcW w:w="696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169,431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192,551</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609</w:t>
            </w: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Operating right-of-use assets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1,092</w:t>
            </w: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4,240</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531</w:t>
            </w:r>
          </w:p>
        </w:tc>
      </w:tr>
      <w:tr>
        <w:trPr>
          <w:trHeight w:val="164"/>
        </w:trPr>
        <w:tc>
          <w:tcPr>
            <w:tcW w:w="20" w:type="dxa"/>
            <w:vAlign w:val="bottom"/>
          </w:tcPr>
          <w:p>
            <w:pPr>
              <w:spacing w:after="0"/>
              <w:rPr>
                <w:sz w:val="14"/>
                <w:szCs w:val="14"/>
                <w:color w:val="auto"/>
              </w:rPr>
            </w:pPr>
          </w:p>
        </w:tc>
        <w:tc>
          <w:tcPr>
            <w:tcW w:w="6960" w:type="dxa"/>
            <w:vAlign w:val="bottom"/>
          </w:tcPr>
          <w:p>
            <w:pPr>
              <w:ind w:left="560"/>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175,258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194,783</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960" w:type="dxa"/>
            <w:vAlign w:val="bottom"/>
            <w:shd w:val="clear" w:color="auto" w:fill="CCEEFF"/>
          </w:tcPr>
          <w:p>
            <w:pPr>
              <w:spacing w:after="0" w:line="146" w:lineRule="exact"/>
              <w:rPr>
                <w:sz w:val="20"/>
                <w:szCs w:val="20"/>
                <w:color w:val="auto"/>
              </w:rPr>
            </w:pPr>
            <w:r>
              <w:rPr>
                <w:rFonts w:ascii="Arial" w:cs="Arial" w:eastAsia="Arial" w:hAnsi="Arial"/>
                <w:sz w:val="14"/>
                <w:szCs w:val="14"/>
                <w:b w:val="1"/>
                <w:bCs w:val="1"/>
                <w:color w:val="auto"/>
              </w:rPr>
              <w:t>Liabilities, convertible preference shares, convertible preferred stock and stockholders’ deficit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5,682</w:t>
            </w: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5,734</w:t>
            </w:r>
          </w:p>
        </w:tc>
      </w:tr>
      <w:tr>
        <w:trPr>
          <w:trHeight w:val="162"/>
        </w:trPr>
        <w:tc>
          <w:tcPr>
            <w:tcW w:w="20" w:type="dxa"/>
            <w:vAlign w:val="bottom"/>
          </w:tcPr>
          <w:p>
            <w:pPr>
              <w:spacing w:after="0"/>
              <w:rPr>
                <w:sz w:val="14"/>
                <w:szCs w:val="14"/>
                <w:color w:val="auto"/>
              </w:rPr>
            </w:pPr>
          </w:p>
        </w:tc>
        <w:tc>
          <w:tcPr>
            <w:tcW w:w="696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6,963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4,296</w:t>
            </w: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647</w:t>
            </w:r>
          </w:p>
        </w:tc>
      </w:tr>
      <w:tr>
        <w:trPr>
          <w:trHeight w:val="164"/>
        </w:trPr>
        <w:tc>
          <w:tcPr>
            <w:tcW w:w="20" w:type="dxa"/>
            <w:vAlign w:val="bottom"/>
          </w:tcPr>
          <w:p>
            <w:pPr>
              <w:spacing w:after="0"/>
              <w:rPr>
                <w:sz w:val="14"/>
                <w:szCs w:val="14"/>
                <w:color w:val="auto"/>
              </w:rPr>
            </w:pPr>
          </w:p>
        </w:tc>
        <w:tc>
          <w:tcPr>
            <w:tcW w:w="696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13,189</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10,677</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573</w:t>
            </w:r>
          </w:p>
        </w:tc>
      </w:tr>
      <w:tr>
        <w:trPr>
          <w:trHeight w:val="166"/>
        </w:trPr>
        <w:tc>
          <w:tcPr>
            <w:tcW w:w="20" w:type="dxa"/>
            <w:vAlign w:val="bottom"/>
          </w:tcPr>
          <w:p>
            <w:pPr>
              <w:spacing w:after="0"/>
              <w:rPr>
                <w:sz w:val="14"/>
                <w:szCs w:val="14"/>
                <w:color w:val="auto"/>
              </w:rPr>
            </w:pPr>
          </w:p>
        </w:tc>
        <w:tc>
          <w:tcPr>
            <w:tcW w:w="6960" w:type="dxa"/>
            <w:vAlign w:val="bottom"/>
          </w:tcPr>
          <w:p>
            <w:pPr>
              <w:ind w:left="560"/>
              <w:spacing w:after="0"/>
              <w:rPr>
                <w:sz w:val="20"/>
                <w:szCs w:val="20"/>
                <w:color w:val="auto"/>
              </w:rPr>
            </w:pPr>
            <w:r>
              <w:rPr>
                <w:rFonts w:ascii="Arial" w:cs="Arial" w:eastAsia="Arial" w:hAnsi="Arial"/>
                <w:sz w:val="14"/>
                <w:szCs w:val="14"/>
                <w:color w:val="auto"/>
              </w:rPr>
              <w:t>Total liabilities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13,708</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11,250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Commitments and contingencies (Note 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tcPr>
          <w:p>
            <w:pPr>
              <w:spacing w:after="0"/>
              <w:rPr>
                <w:sz w:val="20"/>
                <w:szCs w:val="20"/>
                <w:color w:val="auto"/>
              </w:rPr>
            </w:pPr>
            <w:r>
              <w:rPr>
                <w:rFonts w:ascii="Arial" w:cs="Arial" w:eastAsia="Arial" w:hAnsi="Arial"/>
                <w:sz w:val="14"/>
                <w:szCs w:val="14"/>
                <w:color w:val="auto"/>
              </w:rPr>
              <w:t>Convertible preferred stock and convertible preference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280"/>
              <w:spacing w:after="0" w:line="148" w:lineRule="exact"/>
              <w:rPr>
                <w:sz w:val="20"/>
                <w:szCs w:val="20"/>
                <w:color w:val="auto"/>
              </w:rPr>
            </w:pPr>
            <w:r>
              <w:rPr>
                <w:rFonts w:ascii="Arial" w:cs="Arial" w:eastAsia="Arial" w:hAnsi="Arial"/>
                <w:sz w:val="14"/>
                <w:szCs w:val="14"/>
                <w:color w:val="auto"/>
              </w:rPr>
              <w:t>Series Seed convertible preferred stock and convertible preference shares, $0.0001 par value and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DKK 1 par value as of March 31, 2026 and December 31, 2025, respectively; 23,343 shares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issued and outstanding as of March 31, 2026 and December 31, 2025; liquidation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preference of $3,126 and $2,939 as of March 31, 2026 and December 31, 2025, respectively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5,236</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5,236</w:t>
            </w:r>
          </w:p>
        </w:tc>
      </w:tr>
      <w:tr>
        <w:trPr>
          <w:trHeight w:val="148"/>
        </w:trPr>
        <w:tc>
          <w:tcPr>
            <w:tcW w:w="20" w:type="dxa"/>
            <w:vAlign w:val="bottom"/>
          </w:tcPr>
          <w:p>
            <w:pPr>
              <w:spacing w:after="0"/>
              <w:rPr>
                <w:sz w:val="12"/>
                <w:szCs w:val="12"/>
                <w:color w:val="auto"/>
              </w:rPr>
            </w:pPr>
          </w:p>
        </w:tc>
        <w:tc>
          <w:tcPr>
            <w:tcW w:w="6960" w:type="dxa"/>
            <w:vAlign w:val="bottom"/>
          </w:tcPr>
          <w:p>
            <w:pPr>
              <w:ind w:left="280"/>
              <w:spacing w:after="0" w:line="148" w:lineRule="exact"/>
              <w:rPr>
                <w:sz w:val="20"/>
                <w:szCs w:val="20"/>
                <w:color w:val="auto"/>
              </w:rPr>
            </w:pPr>
            <w:r>
              <w:rPr>
                <w:rFonts w:ascii="Arial" w:cs="Arial" w:eastAsia="Arial" w:hAnsi="Arial"/>
                <w:sz w:val="14"/>
                <w:szCs w:val="14"/>
                <w:color w:val="auto"/>
              </w:rPr>
              <w:t>Series A convertible preferred stock and convertible preference shares, $0.0001 par value and DKK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1 par value as of March 31, 2026 and December 31, 2025, respectively; 225,866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authorized, issued and outstanding as of March 31, 2026 and December 31, 2025; liquidation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preference of $53,392 and $54,528 as of March 31, 2026 and December 31, 2025,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63,536</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63,536</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280"/>
              <w:spacing w:after="0" w:line="148" w:lineRule="exact"/>
              <w:rPr>
                <w:sz w:val="20"/>
                <w:szCs w:val="20"/>
                <w:color w:val="auto"/>
              </w:rPr>
            </w:pPr>
            <w:r>
              <w:rPr>
                <w:rFonts w:ascii="Arial" w:cs="Arial" w:eastAsia="Arial" w:hAnsi="Arial"/>
                <w:sz w:val="14"/>
                <w:szCs w:val="14"/>
                <w:color w:val="auto"/>
              </w:rPr>
              <w:t>Series B convertible preferred stock and convertible preference shares, $0.0001 par value and DKK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1 par value as of March 31, 2026 and December 31, 2025, respectively; 442,205 shares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authorized, issued and outstanding as of March 31, 2026 and December 31, 2025; liquidation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preference of $135,248 as of March 31, 2026 and December 31, 2025, respectively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134,975</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134,975</w:t>
            </w:r>
          </w:p>
        </w:tc>
      </w:tr>
      <w:tr>
        <w:trPr>
          <w:trHeight w:val="148"/>
        </w:trPr>
        <w:tc>
          <w:tcPr>
            <w:tcW w:w="20" w:type="dxa"/>
            <w:vAlign w:val="bottom"/>
          </w:tcPr>
          <w:p>
            <w:pPr>
              <w:spacing w:after="0"/>
              <w:rPr>
                <w:sz w:val="12"/>
                <w:szCs w:val="12"/>
                <w:color w:val="auto"/>
              </w:rPr>
            </w:pPr>
          </w:p>
        </w:tc>
        <w:tc>
          <w:tcPr>
            <w:tcW w:w="6960" w:type="dxa"/>
            <w:vAlign w:val="bottom"/>
          </w:tcPr>
          <w:p>
            <w:pPr>
              <w:ind w:left="280"/>
              <w:spacing w:after="0" w:line="148" w:lineRule="exact"/>
              <w:rPr>
                <w:sz w:val="20"/>
                <w:szCs w:val="20"/>
                <w:color w:val="auto"/>
              </w:rPr>
            </w:pPr>
            <w:r>
              <w:rPr>
                <w:rFonts w:ascii="Arial" w:cs="Arial" w:eastAsia="Arial" w:hAnsi="Arial"/>
                <w:sz w:val="14"/>
                <w:szCs w:val="14"/>
                <w:color w:val="auto"/>
              </w:rPr>
              <w:t>Series C convertible preferred stock and convertible preference shares, $0.0001 par value and DKK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1 par value as of March 31, 2026 and December 31, 2025, respectively; 512,991 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authorized, issued, and outstanding as of March 31, 2026 and December 31, 2025; liquidation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preference of $156,898 as of March 31, 2026 and December 31, 2025,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156,421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156,421</w:t>
            </w: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280"/>
              <w:spacing w:after="0" w:line="148" w:lineRule="exact"/>
              <w:rPr>
                <w:sz w:val="20"/>
                <w:szCs w:val="20"/>
                <w:color w:val="auto"/>
              </w:rPr>
            </w:pPr>
            <w:r>
              <w:rPr>
                <w:rFonts w:ascii="Arial" w:cs="Arial" w:eastAsia="Arial" w:hAnsi="Arial"/>
                <w:sz w:val="14"/>
                <w:szCs w:val="14"/>
                <w:color w:val="auto"/>
              </w:rPr>
              <w:t>Ordinary shares, DKK 1 par value; no shares and 946,000 shares authorized, issued,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6960" w:type="dxa"/>
            <w:vAlign w:val="bottom"/>
          </w:tcPr>
          <w:p>
            <w:pPr>
              <w:ind w:left="420"/>
              <w:spacing w:after="0"/>
              <w:rPr>
                <w:sz w:val="20"/>
                <w:szCs w:val="20"/>
                <w:color w:val="auto"/>
              </w:rPr>
            </w:pPr>
            <w:r>
              <w:rPr>
                <w:rFonts w:ascii="Arial" w:cs="Arial" w:eastAsia="Arial" w:hAnsi="Arial"/>
                <w:sz w:val="14"/>
                <w:szCs w:val="14"/>
                <w:color w:val="auto"/>
              </w:rPr>
              <w:t>outstanding as of March 31, 2026 and December 31, 2025, respectively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132</w:t>
            </w: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280"/>
              <w:spacing w:after="0" w:line="148" w:lineRule="exact"/>
              <w:rPr>
                <w:sz w:val="20"/>
                <w:szCs w:val="20"/>
                <w:color w:val="auto"/>
              </w:rPr>
            </w:pPr>
            <w:r>
              <w:rPr>
                <w:rFonts w:ascii="Arial" w:cs="Arial" w:eastAsia="Arial" w:hAnsi="Arial"/>
                <w:sz w:val="14"/>
                <w:szCs w:val="14"/>
                <w:color w:val="auto"/>
              </w:rPr>
              <w:t>Common stock, $0.0001 par value; 1,446,166 shares and no shares authorized as of March 31,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2026 and December 31, 2025, respectively; 946,000 shares and no shares issued and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outstanding as of March 31, 2026 and December 31, 2025, respectively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r>
      <w:tr>
        <w:trPr>
          <w:trHeight w:val="162"/>
        </w:trPr>
        <w:tc>
          <w:tcPr>
            <w:tcW w:w="20" w:type="dxa"/>
            <w:vAlign w:val="bottom"/>
          </w:tcPr>
          <w:p>
            <w:pPr>
              <w:spacing w:after="0"/>
              <w:rPr>
                <w:sz w:val="14"/>
                <w:szCs w:val="14"/>
                <w:color w:val="auto"/>
              </w:rPr>
            </w:pPr>
          </w:p>
        </w:tc>
        <w:tc>
          <w:tcPr>
            <w:tcW w:w="696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6,366</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4,916</w:t>
            </w: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(loss) income</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(439)</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175</w:t>
            </w:r>
          </w:p>
        </w:tc>
      </w:tr>
      <w:tr>
        <w:trPr>
          <w:trHeight w:val="162"/>
        </w:trPr>
        <w:tc>
          <w:tcPr>
            <w:tcW w:w="20" w:type="dxa"/>
            <w:vAlign w:val="bottom"/>
          </w:tcPr>
          <w:p>
            <w:pPr>
              <w:spacing w:after="0"/>
              <w:rPr>
                <w:sz w:val="14"/>
                <w:szCs w:val="14"/>
                <w:color w:val="auto"/>
              </w:rPr>
            </w:pPr>
          </w:p>
        </w:tc>
        <w:tc>
          <w:tcPr>
            <w:tcW w:w="6960" w:type="dxa"/>
            <w:vAlign w:val="bottom"/>
          </w:tcPr>
          <w:p>
            <w:pPr>
              <w:ind w:left="280"/>
              <w:spacing w:after="0"/>
              <w:rPr>
                <w:sz w:val="20"/>
                <w:szCs w:val="20"/>
                <w:color w:val="auto"/>
              </w:rPr>
            </w:pPr>
            <w:r>
              <w:rPr>
                <w:rFonts w:ascii="Arial" w:cs="Arial" w:eastAsia="Arial" w:hAnsi="Arial"/>
                <w:sz w:val="14"/>
                <w:szCs w:val="14"/>
                <w:color w:val="auto"/>
              </w:rPr>
              <w:t>Accumulated deficit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(204,545)</w:t>
            </w:r>
          </w:p>
        </w:tc>
        <w:tc>
          <w:tcPr>
            <w:tcW w:w="1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(181,858)</w:t>
            </w:r>
          </w:p>
        </w:tc>
      </w:tr>
      <w:tr>
        <w:trPr>
          <w:trHeight w:val="22"/>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9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stockholders’ deficit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(198,618)</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(176,635)</w:t>
            </w:r>
          </w:p>
        </w:tc>
      </w:tr>
      <w:tr>
        <w:trPr>
          <w:trHeight w:val="149"/>
        </w:trPr>
        <w:tc>
          <w:tcPr>
            <w:tcW w:w="20" w:type="dxa"/>
            <w:vAlign w:val="bottom"/>
          </w:tcPr>
          <w:p>
            <w:pPr>
              <w:spacing w:after="0"/>
              <w:rPr>
                <w:sz w:val="12"/>
                <w:szCs w:val="12"/>
                <w:color w:val="auto"/>
              </w:rPr>
            </w:pPr>
          </w:p>
        </w:tc>
        <w:tc>
          <w:tcPr>
            <w:tcW w:w="6960" w:type="dxa"/>
            <w:vAlign w:val="bottom"/>
          </w:tcPr>
          <w:p>
            <w:pPr>
              <w:ind w:left="560"/>
              <w:spacing w:after="0" w:line="149" w:lineRule="exact"/>
              <w:rPr>
                <w:sz w:val="20"/>
                <w:szCs w:val="20"/>
                <w:color w:val="auto"/>
              </w:rPr>
            </w:pPr>
            <w:r>
              <w:rPr>
                <w:rFonts w:ascii="Arial" w:cs="Arial" w:eastAsia="Arial" w:hAnsi="Arial"/>
                <w:sz w:val="14"/>
                <w:szCs w:val="14"/>
                <w:color w:val="auto"/>
              </w:rPr>
              <w:t>Total liabilities, convertible preference shares, convertible preferred stock and stockholders’</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6960" w:type="dxa"/>
            <w:vAlign w:val="bottom"/>
          </w:tcPr>
          <w:p>
            <w:pPr>
              <w:ind w:left="720"/>
              <w:spacing w:after="0"/>
              <w:rPr>
                <w:sz w:val="20"/>
                <w:szCs w:val="20"/>
                <w:color w:val="auto"/>
              </w:rPr>
            </w:pPr>
            <w:r>
              <w:rPr>
                <w:rFonts w:ascii="Arial" w:cs="Arial" w:eastAsia="Arial" w:hAnsi="Arial"/>
                <w:sz w:val="14"/>
                <w:szCs w:val="14"/>
                <w:color w:val="auto"/>
              </w:rPr>
              <w:t>deficit</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175,258</w:t>
            </w:r>
          </w:p>
        </w:tc>
        <w:tc>
          <w:tcPr>
            <w:tcW w:w="32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194,783</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59"/>
          </w:cols>
          <w:pgMar w:left="300" w:top="41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left="1520" w:right="1760"/>
        <w:spacing w:after="0" w:line="258" w:lineRule="auto"/>
        <w:rPr>
          <w:sz w:val="20"/>
          <w:szCs w:val="20"/>
          <w:color w:val="auto"/>
        </w:rPr>
      </w:pPr>
      <w:r>
        <w:rPr>
          <w:rFonts w:ascii="Arial" w:cs="Arial" w:eastAsia="Arial" w:hAnsi="Arial"/>
          <w:sz w:val="14"/>
          <w:szCs w:val="14"/>
          <w:b w:val="1"/>
          <w:bCs w:val="1"/>
          <w:color w:val="auto"/>
        </w:rPr>
        <w:t xml:space="preserve">HEMAB THERAPEUTICS HOLDINGS, INC. Condensed Consolidated Statements of Operations and Comprehensive Loss </w:t>
      </w:r>
      <w:r>
        <w:rPr>
          <w:rFonts w:ascii="Arial" w:cs="Arial" w:eastAsia="Arial" w:hAnsi="Arial"/>
          <w:sz w:val="14"/>
          <w:szCs w:val="14"/>
          <w:color w:val="auto"/>
        </w:rPr>
        <w:t>(in thousands, except share and per share amounts) (unaudited)</w:t>
      </w:r>
    </w:p>
    <w:p>
      <w:pPr>
        <w:spacing w:after="0" w:line="331"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7"/>
          </w:tcPr>
          <w:p>
            <w:pPr>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9"/>
              <w:spacing w:after="0" w:line="121" w:lineRule="exact"/>
              <w:rPr>
                <w:sz w:val="20"/>
                <w:szCs w:val="20"/>
                <w:color w:val="auto"/>
              </w:rPr>
            </w:pPr>
            <w:r>
              <w:rPr>
                <w:rFonts w:ascii="Arial" w:cs="Arial" w:eastAsia="Arial" w:hAnsi="Arial"/>
                <w:sz w:val="12"/>
                <w:szCs w:val="12"/>
                <w:b w:val="1"/>
                <w:bCs w:val="1"/>
                <w:color w:val="auto"/>
              </w:rPr>
              <w:t>2026</w:t>
            </w: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9"/>
              <w:spacing w:after="0" w:line="121" w:lineRule="exact"/>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Research and development</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79"/>
              <w:spacing w:after="0"/>
              <w:rPr>
                <w:sz w:val="20"/>
                <w:szCs w:val="20"/>
                <w:color w:val="auto"/>
              </w:rPr>
            </w:pPr>
            <w:r>
              <w:rPr>
                <w:rFonts w:ascii="Arial" w:cs="Arial" w:eastAsia="Arial" w:hAnsi="Arial"/>
                <w:sz w:val="14"/>
                <w:szCs w:val="14"/>
                <w:color w:val="auto"/>
              </w:rPr>
              <w:t>19,461</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59"/>
              <w:spacing w:after="0"/>
              <w:rPr>
                <w:sz w:val="20"/>
                <w:szCs w:val="20"/>
                <w:color w:val="auto"/>
              </w:rPr>
            </w:pPr>
            <w:r>
              <w:rPr>
                <w:rFonts w:ascii="Arial" w:cs="Arial" w:eastAsia="Arial" w:hAnsi="Arial"/>
                <w:sz w:val="14"/>
                <w:szCs w:val="14"/>
                <w:color w:val="auto"/>
              </w:rPr>
              <w:t>14,101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4,151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2,459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980" w:type="dxa"/>
            <w:vAlign w:val="bottom"/>
          </w:tcPr>
          <w:p>
            <w:pPr>
              <w:ind w:left="560"/>
              <w:spacing w:after="0"/>
              <w:rPr>
                <w:sz w:val="20"/>
                <w:szCs w:val="20"/>
                <w:color w:val="auto"/>
              </w:rPr>
            </w:pPr>
            <w:r>
              <w:rPr>
                <w:rFonts w:ascii="Arial" w:cs="Arial" w:eastAsia="Arial" w:hAnsi="Arial"/>
                <w:sz w:val="14"/>
                <w:szCs w:val="14"/>
                <w:color w:val="auto"/>
              </w:rPr>
              <w:t>Total operating expenses</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(23,612)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(16,560)</w:t>
            </w:r>
          </w:p>
        </w:tc>
        <w:tc>
          <w:tcPr>
            <w:tcW w:w="0" w:type="dxa"/>
            <w:vAlign w:val="bottom"/>
          </w:tcPr>
          <w:p>
            <w:pPr>
              <w:spacing w:after="0"/>
              <w:rPr>
                <w:sz w:val="1"/>
                <w:szCs w:val="1"/>
                <w:color w:val="auto"/>
              </w:rPr>
            </w:pPr>
          </w:p>
        </w:tc>
      </w:tr>
      <w:tr>
        <w:trPr>
          <w:trHeight w:val="164"/>
        </w:trPr>
        <w:tc>
          <w:tcPr>
            <w:tcW w:w="700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ind w:left="280"/>
              <w:spacing w:after="0"/>
              <w:rPr>
                <w:sz w:val="20"/>
                <w:szCs w:val="20"/>
                <w:color w:val="auto"/>
              </w:rPr>
            </w:pPr>
            <w:r>
              <w:rPr>
                <w:rFonts w:ascii="Arial" w:cs="Arial" w:eastAsia="Arial" w:hAnsi="Arial"/>
                <w:sz w:val="14"/>
                <w:szCs w:val="14"/>
                <w:color w:val="auto"/>
              </w:rPr>
              <w:t>Other (expense) income, 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14"/>
                <w:szCs w:val="14"/>
                <w:color w:val="auto"/>
              </w:rPr>
              <w:t>(282)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59"/>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other income, net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164"/>
        </w:trPr>
        <w:tc>
          <w:tcPr>
            <w:tcW w:w="7000" w:type="dxa"/>
            <w:vAlign w:val="bottom"/>
            <w:gridSpan w:val="2"/>
          </w:tcPr>
          <w:p>
            <w:pPr>
              <w:spacing w:after="0"/>
              <w:rPr>
                <w:sz w:val="20"/>
                <w:szCs w:val="20"/>
                <w:color w:val="auto"/>
              </w:rPr>
            </w:pPr>
            <w:r>
              <w:rPr>
                <w:rFonts w:ascii="Arial" w:cs="Arial" w:eastAsia="Arial" w:hAnsi="Arial"/>
                <w:sz w:val="14"/>
                <w:szCs w:val="14"/>
                <w:color w:val="auto"/>
              </w:rPr>
              <w:t>Loss before income tax expense</w:t>
            </w: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4"/>
        </w:trPr>
        <w:tc>
          <w:tcPr>
            <w:tcW w:w="700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(22,687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(15,306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Net loss per share, basic and diluted</w:t>
            </w:r>
          </w:p>
        </w:tc>
        <w:tc>
          <w:tcPr>
            <w:tcW w:w="160" w:type="dxa"/>
            <w:vAlign w:val="bottom"/>
            <w:gridSpan w:val="2"/>
            <w:shd w:val="clear" w:color="auto" w:fill="CCEEFF"/>
          </w:tcPr>
          <w:p>
            <w:pPr>
              <w:spacing w:after="0" w:line="14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9"/>
              <w:spacing w:after="0" w:line="146" w:lineRule="exact"/>
              <w:rPr>
                <w:sz w:val="20"/>
                <w:szCs w:val="20"/>
                <w:color w:val="auto"/>
              </w:rPr>
            </w:pPr>
            <w:r>
              <w:rPr>
                <w:rFonts w:ascii="Arial" w:cs="Arial" w:eastAsia="Arial" w:hAnsi="Arial"/>
                <w:sz w:val="14"/>
                <w:szCs w:val="14"/>
                <w:color w:val="auto"/>
              </w:rPr>
              <w:t>(23.98)</w:t>
            </w:r>
          </w:p>
        </w:tc>
        <w:tc>
          <w:tcPr>
            <w:tcW w:w="260" w:type="dxa"/>
            <w:vAlign w:val="bottom"/>
            <w:gridSpan w:val="2"/>
            <w:shd w:val="clear" w:color="auto" w:fill="CCEEFF"/>
          </w:tcPr>
          <w:p>
            <w:pPr>
              <w:jc w:val="right"/>
              <w:ind w:right="28"/>
              <w:spacing w:after="0" w:line="14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9"/>
              <w:spacing w:after="0" w:line="146" w:lineRule="exact"/>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common stock outstanding, basic and diluted</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946,000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color w:val="auto"/>
              </w:rPr>
              <w:t>946,000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980" w:type="dxa"/>
            <w:vAlign w:val="bottom"/>
            <w:shd w:val="clear" w:color="auto" w:fill="CCEEFF"/>
          </w:tcPr>
          <w:p>
            <w:pPr>
              <w:spacing w:after="0" w:line="146" w:lineRule="exact"/>
              <w:rPr>
                <w:sz w:val="20"/>
                <w:szCs w:val="20"/>
                <w:color w:val="auto"/>
              </w:rPr>
            </w:pPr>
            <w:r>
              <w:rPr>
                <w:rFonts w:ascii="Arial" w:cs="Arial" w:eastAsia="Arial" w:hAnsi="Arial"/>
                <w:sz w:val="14"/>
                <w:szCs w:val="14"/>
                <w:color w:val="auto"/>
              </w:rPr>
              <w:t>Other comprehensive (loss) income:</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9"/>
              <w:spacing w:after="0"/>
              <w:rPr>
                <w:sz w:val="20"/>
                <w:szCs w:val="20"/>
                <w:color w:val="auto"/>
              </w:rPr>
            </w:pPr>
            <w:r>
              <w:rPr>
                <w:rFonts w:ascii="Arial" w:cs="Arial" w:eastAsia="Arial" w:hAnsi="Arial"/>
                <w:sz w:val="14"/>
                <w:szCs w:val="14"/>
                <w:color w:val="auto"/>
              </w:rPr>
              <w:t>(22,687)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 (loss) on available-for-sale debt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(614)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64"/>
        </w:trPr>
        <w:tc>
          <w:tcPr>
            <w:tcW w:w="7000" w:type="dxa"/>
            <w:vAlign w:val="bottom"/>
            <w:gridSpan w:val="2"/>
          </w:tcPr>
          <w:p>
            <w:pPr>
              <w:spacing w:after="0"/>
              <w:rPr>
                <w:sz w:val="20"/>
                <w:szCs w:val="20"/>
                <w:color w:val="auto"/>
              </w:rPr>
            </w:pPr>
            <w:r>
              <w:rPr>
                <w:rFonts w:ascii="Arial" w:cs="Arial" w:eastAsia="Arial" w:hAnsi="Arial"/>
                <w:sz w:val="14"/>
                <w:szCs w:val="14"/>
                <w:color w:val="auto"/>
              </w:rPr>
              <w:t>Total comprehensive loss</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(23,301</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(14,332</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159"/>
          </w:cols>
          <w:pgMar w:left="300" w:top="41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HEMAB THERAPEUTICS HOLDINGS, INC.</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Condensed Consolidated Statements of Changes in Convertible Preference Shares, Convertible Preferred Stock and</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Stockholders’ Deficit</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(in thousands, except share amounts)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(unaudited)</w:t>
      </w:r>
    </w:p>
    <w:p>
      <w:pPr>
        <w:spacing w:after="0" w:line="190" w:lineRule="exact"/>
        <w:rPr>
          <w:sz w:val="20"/>
          <w:szCs w:val="20"/>
          <w:color w:val="auto"/>
        </w:rPr>
      </w:pPr>
    </w:p>
    <w:tbl>
      <w:tblPr>
        <w:tblLayout w:type="fixed"/>
        <w:tblInd w:w="1220" w:type="dxa"/>
        <w:tblCellMar>
          <w:top w:w="0" w:type="dxa"/>
          <w:left w:w="0" w:type="dxa"/>
          <w:bottom w:w="0" w:type="dxa"/>
          <w:right w:w="0" w:type="dxa"/>
        </w:tblCellMar>
      </w:tblPr>
      <w:tr>
        <w:trPr>
          <w:trHeight w:val="8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gridSpan w:val="6"/>
          </w:tcPr>
          <w:p>
            <w:pPr>
              <w:jc w:val="center"/>
              <w:ind w:right="80"/>
              <w:spacing w:after="0"/>
              <w:rPr>
                <w:sz w:val="20"/>
                <w:szCs w:val="20"/>
                <w:color w:val="auto"/>
              </w:rPr>
            </w:pPr>
            <w:r>
              <w:rPr>
                <w:rFonts w:ascii="Arial" w:cs="Arial" w:eastAsia="Arial" w:hAnsi="Arial"/>
                <w:sz w:val="7"/>
                <w:szCs w:val="7"/>
                <w:b w:val="1"/>
                <w:bCs w:val="1"/>
                <w:color w:val="auto"/>
              </w:rPr>
              <w:t>Series Seed</w:t>
            </w:r>
          </w:p>
        </w:tc>
        <w:tc>
          <w:tcPr>
            <w:tcW w:w="900" w:type="dxa"/>
            <w:vAlign w:val="bottom"/>
            <w:gridSpan w:val="6"/>
            <w:vMerge w:val="restart"/>
          </w:tcPr>
          <w:p>
            <w:pPr>
              <w:jc w:val="right"/>
              <w:ind w:right="140"/>
              <w:spacing w:after="0"/>
              <w:rPr>
                <w:sz w:val="20"/>
                <w:szCs w:val="20"/>
                <w:color w:val="auto"/>
              </w:rPr>
            </w:pPr>
            <w:r>
              <w:rPr>
                <w:rFonts w:ascii="Arial" w:cs="Arial" w:eastAsia="Arial" w:hAnsi="Arial"/>
                <w:sz w:val="7"/>
                <w:szCs w:val="7"/>
                <w:b w:val="1"/>
                <w:bCs w:val="1"/>
                <w:color w:val="auto"/>
              </w:rPr>
              <w:t>Series A Convertible</w:t>
            </w:r>
          </w:p>
        </w:tc>
        <w:tc>
          <w:tcPr>
            <w:tcW w:w="960" w:type="dxa"/>
            <w:vAlign w:val="bottom"/>
            <w:gridSpan w:val="5"/>
          </w:tcPr>
          <w:p>
            <w:pPr>
              <w:jc w:val="center"/>
              <w:ind w:right="80"/>
              <w:spacing w:after="0"/>
              <w:rPr>
                <w:sz w:val="20"/>
                <w:szCs w:val="20"/>
                <w:color w:val="auto"/>
              </w:rPr>
            </w:pPr>
            <w:r>
              <w:rPr>
                <w:rFonts w:ascii="Arial" w:cs="Arial" w:eastAsia="Arial" w:hAnsi="Arial"/>
                <w:sz w:val="7"/>
                <w:szCs w:val="7"/>
                <w:b w:val="1"/>
                <w:bCs w:val="1"/>
                <w:color w:val="auto"/>
                <w:w w:val="99"/>
              </w:rPr>
              <w:t>Series B</w:t>
            </w:r>
          </w:p>
        </w:tc>
        <w:tc>
          <w:tcPr>
            <w:tcW w:w="940" w:type="dxa"/>
            <w:vAlign w:val="bottom"/>
            <w:gridSpan w:val="5"/>
          </w:tcPr>
          <w:p>
            <w:pPr>
              <w:jc w:val="center"/>
              <w:ind w:right="80"/>
              <w:spacing w:after="0"/>
              <w:rPr>
                <w:sz w:val="20"/>
                <w:szCs w:val="20"/>
                <w:color w:val="auto"/>
              </w:rPr>
            </w:pPr>
            <w:r>
              <w:rPr>
                <w:rFonts w:ascii="Arial" w:cs="Arial" w:eastAsia="Arial" w:hAnsi="Arial"/>
                <w:sz w:val="7"/>
                <w:szCs w:val="7"/>
                <w:b w:val="1"/>
                <w:bCs w:val="1"/>
                <w:color w:val="auto"/>
              </w:rPr>
              <w:t>Series C</w:t>
            </w:r>
          </w:p>
        </w:tc>
        <w:tc>
          <w:tcPr>
            <w:tcW w:w="660" w:type="dxa"/>
            <w:vAlign w:val="bottom"/>
            <w:gridSpan w:val="4"/>
          </w:tcPr>
          <w:p>
            <w:pPr>
              <w:jc w:val="center"/>
              <w:spacing w:after="0"/>
              <w:rPr>
                <w:sz w:val="20"/>
                <w:szCs w:val="20"/>
                <w:color w:val="auto"/>
              </w:rPr>
            </w:pPr>
            <w:r>
              <w:rPr>
                <w:rFonts w:ascii="Arial" w:cs="Arial" w:eastAsia="Arial" w:hAnsi="Arial"/>
                <w:sz w:val="7"/>
                <w:szCs w:val="7"/>
                <w:b w:val="1"/>
                <w:bCs w:val="1"/>
                <w:color w:val="auto"/>
              </w:rPr>
              <w:t>Series Seed</w:t>
            </w:r>
          </w:p>
        </w:tc>
        <w:tc>
          <w:tcPr>
            <w:tcW w:w="60" w:type="dxa"/>
            <w:vAlign w:val="bottom"/>
          </w:tcPr>
          <w:p>
            <w:pPr>
              <w:spacing w:after="0"/>
              <w:rPr>
                <w:sz w:val="7"/>
                <w:szCs w:val="7"/>
                <w:color w:val="auto"/>
              </w:rPr>
            </w:pPr>
          </w:p>
        </w:tc>
        <w:tc>
          <w:tcPr>
            <w:tcW w:w="800" w:type="dxa"/>
            <w:vAlign w:val="bottom"/>
            <w:gridSpan w:val="5"/>
          </w:tcPr>
          <w:p>
            <w:pPr>
              <w:ind w:left="220"/>
              <w:spacing w:after="0"/>
              <w:rPr>
                <w:sz w:val="20"/>
                <w:szCs w:val="20"/>
                <w:color w:val="auto"/>
              </w:rPr>
            </w:pPr>
            <w:r>
              <w:rPr>
                <w:rFonts w:ascii="Arial" w:cs="Arial" w:eastAsia="Arial" w:hAnsi="Arial"/>
                <w:sz w:val="7"/>
                <w:szCs w:val="7"/>
                <w:b w:val="1"/>
                <w:bCs w:val="1"/>
                <w:color w:val="auto"/>
              </w:rPr>
              <w:t>Series A</w:t>
            </w:r>
          </w:p>
        </w:tc>
        <w:tc>
          <w:tcPr>
            <w:tcW w:w="840" w:type="dxa"/>
            <w:vAlign w:val="bottom"/>
            <w:gridSpan w:val="6"/>
          </w:tcPr>
          <w:p>
            <w:pPr>
              <w:jc w:val="center"/>
              <w:ind w:right="60"/>
              <w:spacing w:after="0"/>
              <w:rPr>
                <w:sz w:val="20"/>
                <w:szCs w:val="20"/>
                <w:color w:val="auto"/>
              </w:rPr>
            </w:pPr>
            <w:r>
              <w:rPr>
                <w:rFonts w:ascii="Arial" w:cs="Arial" w:eastAsia="Arial" w:hAnsi="Arial"/>
                <w:sz w:val="7"/>
                <w:szCs w:val="7"/>
                <w:b w:val="1"/>
                <w:bCs w:val="1"/>
                <w:color w:val="auto"/>
              </w:rPr>
              <w:t>Series B</w:t>
            </w:r>
          </w:p>
        </w:tc>
        <w:tc>
          <w:tcPr>
            <w:tcW w:w="840" w:type="dxa"/>
            <w:vAlign w:val="bottom"/>
            <w:tcBorders>
              <w:right w:val="single" w:sz="8" w:color="auto"/>
            </w:tcBorders>
            <w:gridSpan w:val="5"/>
          </w:tcPr>
          <w:p>
            <w:pPr>
              <w:jc w:val="center"/>
              <w:spacing w:after="0"/>
              <w:rPr>
                <w:sz w:val="20"/>
                <w:szCs w:val="20"/>
                <w:color w:val="auto"/>
              </w:rPr>
            </w:pPr>
            <w:r>
              <w:rPr>
                <w:rFonts w:ascii="Arial" w:cs="Arial" w:eastAsia="Arial" w:hAnsi="Arial"/>
                <w:sz w:val="7"/>
                <w:szCs w:val="7"/>
                <w:b w:val="1"/>
                <w:bCs w:val="1"/>
                <w:color w:val="auto"/>
                <w:w w:val="99"/>
              </w:rPr>
              <w:t>Series C</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Additional</w:t>
            </w:r>
          </w:p>
        </w:tc>
        <w:tc>
          <w:tcPr>
            <w:tcW w:w="560" w:type="dxa"/>
            <w:vAlign w:val="bottom"/>
            <w:gridSpan w:val="3"/>
          </w:tcPr>
          <w:p>
            <w:pPr>
              <w:jc w:val="center"/>
              <w:ind w:right="20"/>
              <w:spacing w:after="0"/>
              <w:rPr>
                <w:sz w:val="20"/>
                <w:szCs w:val="20"/>
                <w:color w:val="auto"/>
              </w:rPr>
            </w:pPr>
            <w:r>
              <w:rPr>
                <w:rFonts w:ascii="Arial" w:cs="Arial" w:eastAsia="Arial" w:hAnsi="Arial"/>
                <w:sz w:val="7"/>
                <w:szCs w:val="7"/>
                <w:b w:val="1"/>
                <w:bCs w:val="1"/>
                <w:color w:val="auto"/>
              </w:rPr>
              <w:t>Accumulated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6"/>
          </w:tcPr>
          <w:p>
            <w:pPr>
              <w:jc w:val="center"/>
              <w:ind w:right="100"/>
              <w:spacing w:after="0" w:line="76" w:lineRule="exact"/>
              <w:rPr>
                <w:sz w:val="20"/>
                <w:szCs w:val="20"/>
                <w:color w:val="auto"/>
              </w:rPr>
            </w:pPr>
            <w:r>
              <w:rPr>
                <w:rFonts w:ascii="Arial" w:cs="Arial" w:eastAsia="Arial" w:hAnsi="Arial"/>
                <w:sz w:val="7"/>
                <w:szCs w:val="7"/>
                <w:b w:val="1"/>
                <w:bCs w:val="1"/>
                <w:color w:val="auto"/>
              </w:rPr>
              <w:t>Convertible</w:t>
            </w:r>
          </w:p>
        </w:tc>
        <w:tc>
          <w:tcPr>
            <w:tcW w:w="900" w:type="dxa"/>
            <w:vAlign w:val="bottom"/>
            <w:gridSpan w:val="6"/>
            <w:vMerge w:val="continue"/>
          </w:tcPr>
          <w:p>
            <w:pPr>
              <w:spacing w:after="0"/>
              <w:rPr>
                <w:sz w:val="6"/>
                <w:szCs w:val="6"/>
                <w:color w:val="auto"/>
              </w:rPr>
            </w:pPr>
          </w:p>
        </w:tc>
        <w:tc>
          <w:tcPr>
            <w:tcW w:w="960" w:type="dxa"/>
            <w:vAlign w:val="bottom"/>
            <w:gridSpan w:val="5"/>
          </w:tcPr>
          <w:p>
            <w:pPr>
              <w:jc w:val="center"/>
              <w:ind w:right="80"/>
              <w:spacing w:after="0" w:line="76" w:lineRule="exact"/>
              <w:rPr>
                <w:sz w:val="20"/>
                <w:szCs w:val="20"/>
                <w:color w:val="auto"/>
              </w:rPr>
            </w:pPr>
            <w:r>
              <w:rPr>
                <w:rFonts w:ascii="Arial" w:cs="Arial" w:eastAsia="Arial" w:hAnsi="Arial"/>
                <w:sz w:val="7"/>
                <w:szCs w:val="7"/>
                <w:b w:val="1"/>
                <w:bCs w:val="1"/>
                <w:color w:val="auto"/>
              </w:rPr>
              <w:t>Convertible Preference</w:t>
            </w:r>
          </w:p>
        </w:tc>
        <w:tc>
          <w:tcPr>
            <w:tcW w:w="940" w:type="dxa"/>
            <w:vAlign w:val="bottom"/>
            <w:gridSpan w:val="5"/>
          </w:tcPr>
          <w:p>
            <w:pPr>
              <w:jc w:val="center"/>
              <w:ind w:right="80"/>
              <w:spacing w:after="0" w:line="76" w:lineRule="exact"/>
              <w:rPr>
                <w:sz w:val="20"/>
                <w:szCs w:val="20"/>
                <w:color w:val="auto"/>
              </w:rPr>
            </w:pPr>
            <w:r>
              <w:rPr>
                <w:rFonts w:ascii="Arial" w:cs="Arial" w:eastAsia="Arial" w:hAnsi="Arial"/>
                <w:sz w:val="7"/>
                <w:szCs w:val="7"/>
                <w:b w:val="1"/>
                <w:bCs w:val="1"/>
                <w:color w:val="auto"/>
                <w:w w:val="98"/>
              </w:rPr>
              <w:t>Convertible</w:t>
            </w:r>
          </w:p>
        </w:tc>
        <w:tc>
          <w:tcPr>
            <w:tcW w:w="660" w:type="dxa"/>
            <w:vAlign w:val="bottom"/>
            <w:gridSpan w:val="4"/>
          </w:tcPr>
          <w:p>
            <w:pPr>
              <w:jc w:val="center"/>
              <w:spacing w:after="0" w:line="76" w:lineRule="exact"/>
              <w:rPr>
                <w:sz w:val="20"/>
                <w:szCs w:val="20"/>
                <w:color w:val="auto"/>
              </w:rPr>
            </w:pPr>
            <w:r>
              <w:rPr>
                <w:rFonts w:ascii="Arial" w:cs="Arial" w:eastAsia="Arial" w:hAnsi="Arial"/>
                <w:sz w:val="7"/>
                <w:szCs w:val="7"/>
                <w:b w:val="1"/>
                <w:bCs w:val="1"/>
                <w:color w:val="auto"/>
              </w:rPr>
              <w:t>Convertible</w:t>
            </w:r>
          </w:p>
        </w:tc>
        <w:tc>
          <w:tcPr>
            <w:tcW w:w="60" w:type="dxa"/>
            <w:vAlign w:val="bottom"/>
          </w:tcPr>
          <w:p>
            <w:pPr>
              <w:spacing w:after="0"/>
              <w:rPr>
                <w:sz w:val="6"/>
                <w:szCs w:val="6"/>
                <w:color w:val="auto"/>
              </w:rPr>
            </w:pPr>
          </w:p>
        </w:tc>
        <w:tc>
          <w:tcPr>
            <w:tcW w:w="800" w:type="dxa"/>
            <w:vAlign w:val="bottom"/>
            <w:gridSpan w:val="5"/>
          </w:tcPr>
          <w:p>
            <w:pPr>
              <w:ind w:left="180"/>
              <w:spacing w:after="0" w:line="76" w:lineRule="exact"/>
              <w:rPr>
                <w:sz w:val="20"/>
                <w:szCs w:val="20"/>
                <w:color w:val="auto"/>
              </w:rPr>
            </w:pPr>
            <w:r>
              <w:rPr>
                <w:rFonts w:ascii="Arial" w:cs="Arial" w:eastAsia="Arial" w:hAnsi="Arial"/>
                <w:sz w:val="7"/>
                <w:szCs w:val="7"/>
                <w:b w:val="1"/>
                <w:bCs w:val="1"/>
                <w:color w:val="auto"/>
              </w:rPr>
              <w:t>Convertible</w:t>
            </w:r>
          </w:p>
        </w:tc>
        <w:tc>
          <w:tcPr>
            <w:tcW w:w="840" w:type="dxa"/>
            <w:vAlign w:val="bottom"/>
            <w:gridSpan w:val="6"/>
          </w:tcPr>
          <w:p>
            <w:pPr>
              <w:jc w:val="center"/>
              <w:ind w:right="40"/>
              <w:spacing w:after="0" w:line="76" w:lineRule="exact"/>
              <w:rPr>
                <w:sz w:val="20"/>
                <w:szCs w:val="20"/>
                <w:color w:val="auto"/>
              </w:rPr>
            </w:pPr>
            <w:r>
              <w:rPr>
                <w:rFonts w:ascii="Arial" w:cs="Arial" w:eastAsia="Arial" w:hAnsi="Arial"/>
                <w:sz w:val="7"/>
                <w:szCs w:val="7"/>
                <w:b w:val="1"/>
                <w:bCs w:val="1"/>
                <w:color w:val="auto"/>
              </w:rPr>
              <w:t>Convertible</w:t>
            </w:r>
          </w:p>
        </w:tc>
        <w:tc>
          <w:tcPr>
            <w:tcW w:w="840" w:type="dxa"/>
            <w:vAlign w:val="bottom"/>
            <w:tcBorders>
              <w:right w:val="single" w:sz="8" w:color="auto"/>
            </w:tcBorders>
            <w:gridSpan w:val="5"/>
          </w:tcPr>
          <w:p>
            <w:pPr>
              <w:jc w:val="center"/>
              <w:spacing w:after="0" w:line="76" w:lineRule="exact"/>
              <w:rPr>
                <w:sz w:val="20"/>
                <w:szCs w:val="20"/>
                <w:color w:val="auto"/>
              </w:rPr>
            </w:pPr>
            <w:r>
              <w:rPr>
                <w:rFonts w:ascii="Arial" w:cs="Arial" w:eastAsia="Arial" w:hAnsi="Arial"/>
                <w:sz w:val="7"/>
                <w:szCs w:val="7"/>
                <w:b w:val="1"/>
                <w:bCs w:val="1"/>
                <w:color w:val="auto"/>
              </w:rPr>
              <w:t>Convertible</w:t>
            </w:r>
          </w:p>
        </w:tc>
        <w:tc>
          <w:tcPr>
            <w:tcW w:w="20" w:type="dxa"/>
            <w:vAlign w:val="bottom"/>
          </w:tcPr>
          <w:p>
            <w:pPr>
              <w:spacing w:after="0"/>
              <w:rPr>
                <w:sz w:val="6"/>
                <w:szCs w:val="6"/>
                <w:color w:val="auto"/>
              </w:rPr>
            </w:pPr>
          </w:p>
        </w:tc>
        <w:tc>
          <w:tcPr>
            <w:tcW w:w="840" w:type="dxa"/>
            <w:vAlign w:val="bottom"/>
            <w:gridSpan w:val="5"/>
            <w:vMerge w:val="restart"/>
          </w:tcPr>
          <w:p>
            <w:pPr>
              <w:ind w:left="100"/>
              <w:spacing w:after="0"/>
              <w:rPr>
                <w:sz w:val="20"/>
                <w:szCs w:val="20"/>
                <w:color w:val="auto"/>
              </w:rPr>
            </w:pPr>
            <w:r>
              <w:rPr>
                <w:rFonts w:ascii="Arial" w:cs="Arial" w:eastAsia="Arial" w:hAnsi="Arial"/>
                <w:sz w:val="7"/>
                <w:szCs w:val="7"/>
                <w:b w:val="1"/>
                <w:bCs w:val="1"/>
                <w:color w:val="auto"/>
              </w:rPr>
              <w:t>Ordinary Shares</w:t>
            </w:r>
          </w:p>
        </w:tc>
        <w:tc>
          <w:tcPr>
            <w:tcW w:w="680" w:type="dxa"/>
            <w:vAlign w:val="bottom"/>
            <w:gridSpan w:val="5"/>
            <w:vMerge w:val="restart"/>
          </w:tcPr>
          <w:p>
            <w:pPr>
              <w:ind w:left="80"/>
              <w:spacing w:after="0"/>
              <w:rPr>
                <w:sz w:val="20"/>
                <w:szCs w:val="20"/>
                <w:color w:val="auto"/>
              </w:rPr>
            </w:pPr>
            <w:r>
              <w:rPr>
                <w:rFonts w:ascii="Arial" w:cs="Arial" w:eastAsia="Arial" w:hAnsi="Arial"/>
                <w:sz w:val="7"/>
                <w:szCs w:val="7"/>
                <w:b w:val="1"/>
                <w:bCs w:val="1"/>
                <w:color w:val="auto"/>
              </w:rPr>
              <w:t>Common Stock</w:t>
            </w:r>
          </w:p>
        </w:tc>
        <w:tc>
          <w:tcPr>
            <w:tcW w:w="80" w:type="dxa"/>
            <w:vAlign w:val="bottom"/>
          </w:tcPr>
          <w:p>
            <w:pPr>
              <w:spacing w:after="0"/>
              <w:rPr>
                <w:sz w:val="6"/>
                <w:szCs w:val="6"/>
                <w:color w:val="auto"/>
              </w:rPr>
            </w:pPr>
          </w:p>
        </w:tc>
        <w:tc>
          <w:tcPr>
            <w:tcW w:w="4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gridSpan w:val="2"/>
          </w:tcPr>
          <w:p>
            <w:pPr>
              <w:jc w:val="center"/>
              <w:ind w:right="140"/>
              <w:spacing w:after="0" w:line="76" w:lineRule="exact"/>
              <w:rPr>
                <w:sz w:val="20"/>
                <w:szCs w:val="20"/>
                <w:color w:val="auto"/>
              </w:rPr>
            </w:pPr>
            <w:r>
              <w:rPr>
                <w:rFonts w:ascii="Arial" w:cs="Arial" w:eastAsia="Arial" w:hAnsi="Arial"/>
                <w:sz w:val="7"/>
                <w:szCs w:val="7"/>
                <w:b w:val="1"/>
                <w:bCs w:val="1"/>
                <w:color w:val="auto"/>
              </w:rPr>
              <w:t>Other</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6"/>
          </w:tcPr>
          <w:p>
            <w:pPr>
              <w:jc w:val="center"/>
              <w:ind w:right="100"/>
              <w:spacing w:after="0" w:line="56" w:lineRule="exact"/>
              <w:rPr>
                <w:sz w:val="20"/>
                <w:szCs w:val="20"/>
                <w:color w:val="auto"/>
              </w:rPr>
            </w:pPr>
            <w:r>
              <w:rPr>
                <w:rFonts w:ascii="Arial" w:cs="Arial" w:eastAsia="Arial" w:hAnsi="Arial"/>
                <w:sz w:val="6"/>
                <w:szCs w:val="6"/>
                <w:b w:val="1"/>
                <w:bCs w:val="1"/>
                <w:color w:val="auto"/>
              </w:rPr>
              <w:t>Preference Shares</w:t>
            </w:r>
          </w:p>
        </w:tc>
        <w:tc>
          <w:tcPr>
            <w:tcW w:w="900" w:type="dxa"/>
            <w:vAlign w:val="bottom"/>
            <w:gridSpan w:val="6"/>
          </w:tcPr>
          <w:p>
            <w:pPr>
              <w:jc w:val="right"/>
              <w:ind w:right="180"/>
              <w:spacing w:after="0" w:line="56" w:lineRule="exact"/>
              <w:rPr>
                <w:sz w:val="20"/>
                <w:szCs w:val="20"/>
                <w:color w:val="auto"/>
              </w:rPr>
            </w:pPr>
            <w:r>
              <w:rPr>
                <w:rFonts w:ascii="Arial" w:cs="Arial" w:eastAsia="Arial" w:hAnsi="Arial"/>
                <w:sz w:val="6"/>
                <w:szCs w:val="6"/>
                <w:b w:val="1"/>
                <w:bCs w:val="1"/>
                <w:color w:val="auto"/>
              </w:rPr>
              <w:t>Preference Shares</w:t>
            </w:r>
          </w:p>
        </w:tc>
        <w:tc>
          <w:tcPr>
            <w:tcW w:w="960" w:type="dxa"/>
            <w:vAlign w:val="bottom"/>
            <w:gridSpan w:val="5"/>
          </w:tcPr>
          <w:p>
            <w:pPr>
              <w:jc w:val="center"/>
              <w:ind w:right="80"/>
              <w:spacing w:after="0" w:line="56" w:lineRule="exact"/>
              <w:rPr>
                <w:sz w:val="20"/>
                <w:szCs w:val="20"/>
                <w:color w:val="auto"/>
              </w:rPr>
            </w:pPr>
            <w:r>
              <w:rPr>
                <w:rFonts w:ascii="Arial" w:cs="Arial" w:eastAsia="Arial" w:hAnsi="Arial"/>
                <w:sz w:val="6"/>
                <w:szCs w:val="6"/>
                <w:b w:val="1"/>
                <w:bCs w:val="1"/>
                <w:color w:val="auto"/>
              </w:rPr>
              <w:t>Shares</w:t>
            </w:r>
          </w:p>
        </w:tc>
        <w:tc>
          <w:tcPr>
            <w:tcW w:w="940" w:type="dxa"/>
            <w:vAlign w:val="bottom"/>
            <w:gridSpan w:val="5"/>
          </w:tcPr>
          <w:p>
            <w:pPr>
              <w:jc w:val="center"/>
              <w:ind w:right="80"/>
              <w:spacing w:after="0" w:line="56" w:lineRule="exact"/>
              <w:rPr>
                <w:sz w:val="20"/>
                <w:szCs w:val="20"/>
                <w:color w:val="auto"/>
              </w:rPr>
            </w:pPr>
            <w:r>
              <w:rPr>
                <w:rFonts w:ascii="Arial" w:cs="Arial" w:eastAsia="Arial" w:hAnsi="Arial"/>
                <w:sz w:val="6"/>
                <w:szCs w:val="6"/>
                <w:b w:val="1"/>
                <w:bCs w:val="1"/>
                <w:color w:val="auto"/>
              </w:rPr>
              <w:t>Preference Shares</w:t>
            </w:r>
          </w:p>
        </w:tc>
        <w:tc>
          <w:tcPr>
            <w:tcW w:w="660" w:type="dxa"/>
            <w:vAlign w:val="bottom"/>
            <w:gridSpan w:val="4"/>
          </w:tcPr>
          <w:p>
            <w:pPr>
              <w:jc w:val="center"/>
              <w:spacing w:after="0" w:line="56" w:lineRule="exact"/>
              <w:rPr>
                <w:sz w:val="20"/>
                <w:szCs w:val="20"/>
                <w:color w:val="auto"/>
              </w:rPr>
            </w:pPr>
            <w:r>
              <w:rPr>
                <w:rFonts w:ascii="Arial" w:cs="Arial" w:eastAsia="Arial" w:hAnsi="Arial"/>
                <w:sz w:val="6"/>
                <w:szCs w:val="6"/>
                <w:b w:val="1"/>
                <w:bCs w:val="1"/>
                <w:color w:val="auto"/>
              </w:rPr>
              <w:t>Preferred Stock</w:t>
            </w:r>
          </w:p>
        </w:tc>
        <w:tc>
          <w:tcPr>
            <w:tcW w:w="60" w:type="dxa"/>
            <w:vAlign w:val="bottom"/>
          </w:tcPr>
          <w:p>
            <w:pPr>
              <w:spacing w:after="0"/>
              <w:rPr>
                <w:sz w:val="6"/>
                <w:szCs w:val="6"/>
                <w:color w:val="auto"/>
              </w:rPr>
            </w:pPr>
          </w:p>
        </w:tc>
        <w:tc>
          <w:tcPr>
            <w:tcW w:w="800" w:type="dxa"/>
            <w:vAlign w:val="bottom"/>
            <w:gridSpan w:val="5"/>
          </w:tcPr>
          <w:p>
            <w:pPr>
              <w:ind w:left="100"/>
              <w:spacing w:after="0" w:line="56" w:lineRule="exact"/>
              <w:rPr>
                <w:sz w:val="20"/>
                <w:szCs w:val="20"/>
                <w:color w:val="auto"/>
              </w:rPr>
            </w:pPr>
            <w:r>
              <w:rPr>
                <w:rFonts w:ascii="Arial" w:cs="Arial" w:eastAsia="Arial" w:hAnsi="Arial"/>
                <w:sz w:val="6"/>
                <w:szCs w:val="6"/>
                <w:b w:val="1"/>
                <w:bCs w:val="1"/>
                <w:color w:val="auto"/>
              </w:rPr>
              <w:t>Preferred Stock</w:t>
            </w:r>
          </w:p>
        </w:tc>
        <w:tc>
          <w:tcPr>
            <w:tcW w:w="840" w:type="dxa"/>
            <w:vAlign w:val="bottom"/>
            <w:gridSpan w:val="6"/>
          </w:tcPr>
          <w:p>
            <w:pPr>
              <w:jc w:val="center"/>
              <w:ind w:right="60"/>
              <w:spacing w:after="0" w:line="56" w:lineRule="exact"/>
              <w:rPr>
                <w:sz w:val="20"/>
                <w:szCs w:val="20"/>
                <w:color w:val="auto"/>
              </w:rPr>
            </w:pPr>
            <w:r>
              <w:rPr>
                <w:rFonts w:ascii="Arial" w:cs="Arial" w:eastAsia="Arial" w:hAnsi="Arial"/>
                <w:sz w:val="6"/>
                <w:szCs w:val="6"/>
                <w:b w:val="1"/>
                <w:bCs w:val="1"/>
                <w:color w:val="auto"/>
              </w:rPr>
              <w:t>Preferred Stock</w:t>
            </w:r>
          </w:p>
        </w:tc>
        <w:tc>
          <w:tcPr>
            <w:tcW w:w="840" w:type="dxa"/>
            <w:vAlign w:val="bottom"/>
            <w:tcBorders>
              <w:right w:val="single" w:sz="8" w:color="auto"/>
            </w:tcBorders>
            <w:gridSpan w:val="5"/>
          </w:tcPr>
          <w:p>
            <w:pPr>
              <w:jc w:val="center"/>
              <w:ind w:right="17"/>
              <w:spacing w:after="0" w:line="56" w:lineRule="exact"/>
              <w:rPr>
                <w:sz w:val="20"/>
                <w:szCs w:val="20"/>
                <w:color w:val="auto"/>
              </w:rPr>
            </w:pPr>
            <w:r>
              <w:rPr>
                <w:rFonts w:ascii="Arial" w:cs="Arial" w:eastAsia="Arial" w:hAnsi="Arial"/>
                <w:sz w:val="6"/>
                <w:szCs w:val="6"/>
                <w:b w:val="1"/>
                <w:bCs w:val="1"/>
                <w:color w:val="auto"/>
              </w:rPr>
              <w:t>Preferred Stock</w:t>
            </w:r>
          </w:p>
        </w:tc>
        <w:tc>
          <w:tcPr>
            <w:tcW w:w="20" w:type="dxa"/>
            <w:vAlign w:val="bottom"/>
          </w:tcPr>
          <w:p>
            <w:pPr>
              <w:spacing w:after="0"/>
              <w:rPr>
                <w:sz w:val="6"/>
                <w:szCs w:val="6"/>
                <w:color w:val="auto"/>
              </w:rPr>
            </w:pPr>
          </w:p>
        </w:tc>
        <w:tc>
          <w:tcPr>
            <w:tcW w:w="840" w:type="dxa"/>
            <w:vAlign w:val="bottom"/>
            <w:gridSpan w:val="5"/>
            <w:vMerge w:val="continue"/>
          </w:tcPr>
          <w:p>
            <w:pPr>
              <w:spacing w:after="0"/>
              <w:rPr>
                <w:sz w:val="6"/>
                <w:szCs w:val="6"/>
                <w:color w:val="auto"/>
              </w:rPr>
            </w:pPr>
          </w:p>
        </w:tc>
        <w:tc>
          <w:tcPr>
            <w:tcW w:w="68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2"/>
          </w:tcPr>
          <w:p>
            <w:pPr>
              <w:jc w:val="right"/>
              <w:ind w:right="120"/>
              <w:spacing w:after="0" w:line="56" w:lineRule="exact"/>
              <w:rPr>
                <w:sz w:val="20"/>
                <w:szCs w:val="20"/>
                <w:color w:val="auto"/>
              </w:rPr>
            </w:pPr>
            <w:r>
              <w:rPr>
                <w:rFonts w:ascii="Arial" w:cs="Arial" w:eastAsia="Arial" w:hAnsi="Arial"/>
                <w:sz w:val="6"/>
                <w:szCs w:val="6"/>
                <w:b w:val="1"/>
                <w:bCs w:val="1"/>
                <w:color w:val="auto"/>
              </w:rPr>
              <w:t>Paid-In</w:t>
            </w:r>
          </w:p>
        </w:tc>
        <w:tc>
          <w:tcPr>
            <w:tcW w:w="560" w:type="dxa"/>
            <w:vAlign w:val="bottom"/>
            <w:gridSpan w:val="3"/>
          </w:tcPr>
          <w:p>
            <w:pPr>
              <w:spacing w:after="0" w:line="56" w:lineRule="exact"/>
              <w:rPr>
                <w:sz w:val="20"/>
                <w:szCs w:val="20"/>
                <w:color w:val="auto"/>
              </w:rPr>
            </w:pPr>
            <w:r>
              <w:rPr>
                <w:rFonts w:ascii="Arial" w:cs="Arial" w:eastAsia="Arial" w:hAnsi="Arial"/>
                <w:sz w:val="6"/>
                <w:szCs w:val="6"/>
                <w:b w:val="1"/>
                <w:bCs w:val="1"/>
                <w:color w:val="auto"/>
              </w:rPr>
              <w:t>Comprehensive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Borders>
              <w:top w:val="single" w:sz="8" w:color="auto"/>
            </w:tcBorders>
            <w:gridSpan w:val="2"/>
          </w:tcPr>
          <w:p>
            <w:pPr>
              <w:jc w:val="right"/>
              <w:ind w:right="100"/>
              <w:spacing w:after="0" w:line="67" w:lineRule="exact"/>
              <w:rPr>
                <w:sz w:val="20"/>
                <w:szCs w:val="20"/>
                <w:color w:val="auto"/>
              </w:rPr>
            </w:pPr>
            <w:r>
              <w:rPr>
                <w:rFonts w:ascii="Arial" w:cs="Arial" w:eastAsia="Arial" w:hAnsi="Arial"/>
                <w:sz w:val="7"/>
                <w:szCs w:val="7"/>
                <w:b w:val="1"/>
                <w:bCs w:val="1"/>
                <w:color w:val="auto"/>
              </w:rPr>
              <w:t>Shares</w:t>
            </w:r>
          </w:p>
        </w:tc>
        <w:tc>
          <w:tcPr>
            <w:tcW w:w="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gridSpan w:val="2"/>
          </w:tcPr>
          <w:p>
            <w:pPr>
              <w:jc w:val="right"/>
              <w:spacing w:after="0" w:line="67" w:lineRule="exact"/>
              <w:rPr>
                <w:sz w:val="20"/>
                <w:szCs w:val="20"/>
                <w:color w:val="auto"/>
              </w:rPr>
            </w:pPr>
            <w:r>
              <w:rPr>
                <w:rFonts w:ascii="Arial" w:cs="Arial" w:eastAsia="Arial" w:hAnsi="Arial"/>
                <w:sz w:val="7"/>
                <w:szCs w:val="7"/>
                <w:b w:val="1"/>
                <w:bCs w:val="1"/>
                <w:color w:val="auto"/>
              </w:rPr>
              <w:t>Amount</w:t>
            </w:r>
          </w:p>
        </w:tc>
        <w:tc>
          <w:tcPr>
            <w:tcW w:w="100" w:type="dxa"/>
            <w:vAlign w:val="bottom"/>
          </w:tcPr>
          <w:p>
            <w:pPr>
              <w:spacing w:after="0"/>
              <w:rPr>
                <w:sz w:val="5"/>
                <w:szCs w:val="5"/>
                <w:color w:val="auto"/>
              </w:rPr>
            </w:pPr>
          </w:p>
        </w:tc>
        <w:tc>
          <w:tcPr>
            <w:tcW w:w="440" w:type="dxa"/>
            <w:vAlign w:val="bottom"/>
            <w:tcBorders>
              <w:top w:val="single" w:sz="8" w:color="auto"/>
            </w:tcBorders>
            <w:gridSpan w:val="2"/>
          </w:tcPr>
          <w:p>
            <w:pPr>
              <w:jc w:val="right"/>
              <w:ind w:right="140"/>
              <w:spacing w:after="0" w:line="67" w:lineRule="exact"/>
              <w:rPr>
                <w:sz w:val="20"/>
                <w:szCs w:val="20"/>
                <w:color w:val="auto"/>
              </w:rPr>
            </w:pPr>
            <w:r>
              <w:rPr>
                <w:rFonts w:ascii="Arial" w:cs="Arial" w:eastAsia="Arial" w:hAnsi="Arial"/>
                <w:sz w:val="7"/>
                <w:szCs w:val="7"/>
                <w:b w:val="1"/>
                <w:bCs w:val="1"/>
                <w:color w:val="auto"/>
              </w:rPr>
              <w:t>Shares</w:t>
            </w: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gridSpan w:val="2"/>
          </w:tcPr>
          <w:p>
            <w:pPr>
              <w:jc w:val="right"/>
              <w:spacing w:after="0" w:line="67" w:lineRule="exact"/>
              <w:rPr>
                <w:sz w:val="20"/>
                <w:szCs w:val="20"/>
                <w:color w:val="auto"/>
              </w:rPr>
            </w:pPr>
            <w:r>
              <w:rPr>
                <w:rFonts w:ascii="Arial" w:cs="Arial" w:eastAsia="Arial" w:hAnsi="Arial"/>
                <w:sz w:val="7"/>
                <w:szCs w:val="7"/>
                <w:b w:val="1"/>
                <w:bCs w:val="1"/>
                <w:color w:val="auto"/>
              </w:rPr>
              <w:t>Amount</w:t>
            </w:r>
          </w:p>
        </w:tc>
        <w:tc>
          <w:tcPr>
            <w:tcW w:w="80" w:type="dxa"/>
            <w:vAlign w:val="bottom"/>
          </w:tcPr>
          <w:p>
            <w:pPr>
              <w:spacing w:after="0"/>
              <w:rPr>
                <w:sz w:val="5"/>
                <w:szCs w:val="5"/>
                <w:color w:val="auto"/>
              </w:rPr>
            </w:pPr>
          </w:p>
        </w:tc>
        <w:tc>
          <w:tcPr>
            <w:tcW w:w="460" w:type="dxa"/>
            <w:vAlign w:val="bottom"/>
            <w:tcBorders>
              <w:top w:val="single" w:sz="8" w:color="auto"/>
            </w:tcBorders>
            <w:gridSpan w:val="2"/>
          </w:tcPr>
          <w:p>
            <w:pPr>
              <w:jc w:val="right"/>
              <w:ind w:right="140"/>
              <w:spacing w:after="0" w:line="67" w:lineRule="exact"/>
              <w:rPr>
                <w:sz w:val="20"/>
                <w:szCs w:val="20"/>
                <w:color w:val="auto"/>
              </w:rPr>
            </w:pPr>
            <w:r>
              <w:rPr>
                <w:rFonts w:ascii="Arial" w:cs="Arial" w:eastAsia="Arial" w:hAnsi="Arial"/>
                <w:sz w:val="7"/>
                <w:szCs w:val="7"/>
                <w:b w:val="1"/>
                <w:bCs w:val="1"/>
                <w:color w:val="auto"/>
              </w:rPr>
              <w:t>Shares</w:t>
            </w:r>
          </w:p>
        </w:tc>
        <w:tc>
          <w:tcPr>
            <w:tcW w:w="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jc w:val="right"/>
              <w:ind w:right="17"/>
              <w:spacing w:after="0" w:line="67" w:lineRule="exact"/>
              <w:rPr>
                <w:sz w:val="20"/>
                <w:szCs w:val="20"/>
                <w:color w:val="auto"/>
              </w:rPr>
            </w:pPr>
            <w:r>
              <w:rPr>
                <w:rFonts w:ascii="Arial" w:cs="Arial" w:eastAsia="Arial" w:hAnsi="Arial"/>
                <w:sz w:val="7"/>
                <w:szCs w:val="7"/>
                <w:b w:val="1"/>
                <w:bCs w:val="1"/>
                <w:color w:val="auto"/>
                <w:w w:val="98"/>
              </w:rPr>
              <w:t>Amount</w:t>
            </w:r>
          </w:p>
        </w:tc>
        <w:tc>
          <w:tcPr>
            <w:tcW w:w="100" w:type="dxa"/>
            <w:vAlign w:val="bottom"/>
          </w:tcPr>
          <w:p>
            <w:pPr>
              <w:spacing w:after="0"/>
              <w:rPr>
                <w:sz w:val="5"/>
                <w:szCs w:val="5"/>
                <w:color w:val="auto"/>
              </w:rPr>
            </w:pPr>
          </w:p>
        </w:tc>
        <w:tc>
          <w:tcPr>
            <w:tcW w:w="460" w:type="dxa"/>
            <w:vAlign w:val="bottom"/>
            <w:tcBorders>
              <w:top w:val="single" w:sz="8" w:color="auto"/>
            </w:tcBorders>
            <w:gridSpan w:val="2"/>
          </w:tcPr>
          <w:p>
            <w:pPr>
              <w:jc w:val="right"/>
              <w:ind w:right="160"/>
              <w:spacing w:after="0" w:line="67" w:lineRule="exact"/>
              <w:rPr>
                <w:sz w:val="20"/>
                <w:szCs w:val="20"/>
                <w:color w:val="auto"/>
              </w:rPr>
            </w:pPr>
            <w:r>
              <w:rPr>
                <w:rFonts w:ascii="Arial" w:cs="Arial" w:eastAsia="Arial" w:hAnsi="Arial"/>
                <w:sz w:val="7"/>
                <w:szCs w:val="7"/>
                <w:b w:val="1"/>
                <w:bCs w:val="1"/>
                <w:color w:val="auto"/>
              </w:rPr>
              <w:t>Shares</w:t>
            </w:r>
          </w:p>
        </w:tc>
        <w:tc>
          <w:tcPr>
            <w:tcW w:w="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jc w:val="right"/>
              <w:ind w:right="17"/>
              <w:spacing w:after="0" w:line="67" w:lineRule="exact"/>
              <w:rPr>
                <w:sz w:val="20"/>
                <w:szCs w:val="20"/>
                <w:color w:val="auto"/>
              </w:rPr>
            </w:pPr>
            <w:r>
              <w:rPr>
                <w:rFonts w:ascii="Arial" w:cs="Arial" w:eastAsia="Arial" w:hAnsi="Arial"/>
                <w:sz w:val="7"/>
                <w:szCs w:val="7"/>
                <w:b w:val="1"/>
                <w:bCs w:val="1"/>
                <w:color w:val="auto"/>
                <w:w w:val="98"/>
              </w:rPr>
              <w:t>Amount</w:t>
            </w:r>
          </w:p>
        </w:tc>
        <w:tc>
          <w:tcPr>
            <w:tcW w:w="80" w:type="dxa"/>
            <w:vAlign w:val="bottom"/>
          </w:tcPr>
          <w:p>
            <w:pPr>
              <w:spacing w:after="0"/>
              <w:rPr>
                <w:sz w:val="5"/>
                <w:szCs w:val="5"/>
                <w:color w:val="auto"/>
              </w:rPr>
            </w:pPr>
          </w:p>
        </w:tc>
        <w:tc>
          <w:tcPr>
            <w:tcW w:w="320" w:type="dxa"/>
            <w:vAlign w:val="bottom"/>
            <w:tcBorders>
              <w:top w:val="single" w:sz="8" w:color="auto"/>
            </w:tcBorders>
          </w:tcPr>
          <w:p>
            <w:pPr>
              <w:ind w:left="40"/>
              <w:spacing w:after="0" w:line="67" w:lineRule="exact"/>
              <w:rPr>
                <w:sz w:val="20"/>
                <w:szCs w:val="20"/>
                <w:color w:val="auto"/>
              </w:rPr>
            </w:pPr>
            <w:r>
              <w:rPr>
                <w:rFonts w:ascii="Arial" w:cs="Arial" w:eastAsia="Arial" w:hAnsi="Arial"/>
                <w:sz w:val="7"/>
                <w:szCs w:val="7"/>
                <w:b w:val="1"/>
                <w:bCs w:val="1"/>
                <w:color w:val="auto"/>
              </w:rPr>
              <w:t>Shares</w:t>
            </w:r>
          </w:p>
        </w:tc>
        <w:tc>
          <w:tcPr>
            <w:tcW w:w="60" w:type="dxa"/>
            <w:vAlign w:val="bottom"/>
            <w:tcBorders>
              <w:top w:val="single" w:sz="8" w:color="auto"/>
            </w:tcBorders>
          </w:tcPr>
          <w:p>
            <w:pPr>
              <w:spacing w:after="0"/>
              <w:rPr>
                <w:sz w:val="5"/>
                <w:szCs w:val="5"/>
                <w:color w:val="auto"/>
              </w:rPr>
            </w:pPr>
          </w:p>
        </w:tc>
        <w:tc>
          <w:tcPr>
            <w:tcW w:w="280" w:type="dxa"/>
            <w:vAlign w:val="bottom"/>
            <w:tcBorders>
              <w:top w:val="single" w:sz="8" w:color="auto"/>
            </w:tcBorders>
            <w:gridSpan w:val="2"/>
          </w:tcPr>
          <w:p>
            <w:pPr>
              <w:spacing w:after="0" w:line="67" w:lineRule="exact"/>
              <w:rPr>
                <w:sz w:val="20"/>
                <w:szCs w:val="20"/>
                <w:color w:val="auto"/>
              </w:rPr>
            </w:pPr>
            <w:r>
              <w:rPr>
                <w:rFonts w:ascii="Arial" w:cs="Arial" w:eastAsia="Arial" w:hAnsi="Arial"/>
                <w:sz w:val="7"/>
                <w:szCs w:val="7"/>
                <w:b w:val="1"/>
                <w:bCs w:val="1"/>
                <w:color w:val="auto"/>
                <w:w w:val="98"/>
              </w:rPr>
              <w:t>Amount</w:t>
            </w:r>
          </w:p>
        </w:tc>
        <w:tc>
          <w:tcPr>
            <w:tcW w:w="60" w:type="dxa"/>
            <w:vAlign w:val="bottom"/>
          </w:tcPr>
          <w:p>
            <w:pPr>
              <w:spacing w:after="0"/>
              <w:rPr>
                <w:sz w:val="5"/>
                <w:szCs w:val="5"/>
                <w:color w:val="auto"/>
              </w:rPr>
            </w:pPr>
          </w:p>
        </w:tc>
        <w:tc>
          <w:tcPr>
            <w:tcW w:w="420" w:type="dxa"/>
            <w:vAlign w:val="bottom"/>
            <w:tcBorders>
              <w:top w:val="single" w:sz="8" w:color="auto"/>
            </w:tcBorders>
            <w:gridSpan w:val="2"/>
          </w:tcPr>
          <w:p>
            <w:pPr>
              <w:ind w:left="60"/>
              <w:spacing w:after="0" w:line="67" w:lineRule="exact"/>
              <w:rPr>
                <w:sz w:val="20"/>
                <w:szCs w:val="20"/>
                <w:color w:val="auto"/>
              </w:rPr>
            </w:pPr>
            <w:r>
              <w:rPr>
                <w:rFonts w:ascii="Arial" w:cs="Arial" w:eastAsia="Arial" w:hAnsi="Arial"/>
                <w:sz w:val="7"/>
                <w:szCs w:val="7"/>
                <w:b w:val="1"/>
                <w:bCs w:val="1"/>
                <w:color w:val="auto"/>
              </w:rPr>
              <w:t>Shares</w:t>
            </w:r>
          </w:p>
        </w:tc>
        <w:tc>
          <w:tcPr>
            <w:tcW w:w="320" w:type="dxa"/>
            <w:vAlign w:val="bottom"/>
            <w:tcBorders>
              <w:top w:val="single" w:sz="8" w:color="auto"/>
            </w:tcBorders>
            <w:gridSpan w:val="2"/>
          </w:tcPr>
          <w:p>
            <w:pPr>
              <w:ind w:left="20"/>
              <w:spacing w:after="0" w:line="67" w:lineRule="exact"/>
              <w:rPr>
                <w:sz w:val="20"/>
                <w:szCs w:val="20"/>
                <w:color w:val="auto"/>
              </w:rPr>
            </w:pPr>
            <w:r>
              <w:rPr>
                <w:rFonts w:ascii="Arial" w:cs="Arial" w:eastAsia="Arial" w:hAnsi="Arial"/>
                <w:sz w:val="7"/>
                <w:szCs w:val="7"/>
                <w:b w:val="1"/>
                <w:bCs w:val="1"/>
                <w:color w:val="auto"/>
              </w:rPr>
              <w:t>Amount</w:t>
            </w:r>
          </w:p>
        </w:tc>
        <w:tc>
          <w:tcPr>
            <w:tcW w:w="60" w:type="dxa"/>
            <w:vAlign w:val="bottom"/>
          </w:tcPr>
          <w:p>
            <w:pPr>
              <w:spacing w:after="0"/>
              <w:rPr>
                <w:sz w:val="5"/>
                <w:szCs w:val="5"/>
                <w:color w:val="auto"/>
              </w:rPr>
            </w:pPr>
          </w:p>
        </w:tc>
        <w:tc>
          <w:tcPr>
            <w:tcW w:w="380" w:type="dxa"/>
            <w:vAlign w:val="bottom"/>
            <w:tcBorders>
              <w:top w:val="single" w:sz="8" w:color="auto"/>
            </w:tcBorders>
            <w:gridSpan w:val="2"/>
          </w:tcPr>
          <w:p>
            <w:pPr>
              <w:ind w:left="60"/>
              <w:spacing w:after="0" w:line="67" w:lineRule="exact"/>
              <w:rPr>
                <w:sz w:val="20"/>
                <w:szCs w:val="20"/>
                <w:color w:val="auto"/>
              </w:rPr>
            </w:pPr>
            <w:r>
              <w:rPr>
                <w:rFonts w:ascii="Arial" w:cs="Arial" w:eastAsia="Arial" w:hAnsi="Arial"/>
                <w:sz w:val="7"/>
                <w:szCs w:val="7"/>
                <w:b w:val="1"/>
                <w:bCs w:val="1"/>
                <w:color w:val="auto"/>
              </w:rPr>
              <w:t>Shares</w:t>
            </w: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line="67" w:lineRule="exact"/>
              <w:rPr>
                <w:sz w:val="20"/>
                <w:szCs w:val="20"/>
                <w:color w:val="auto"/>
              </w:rPr>
            </w:pPr>
            <w:r>
              <w:rPr>
                <w:rFonts w:ascii="Arial" w:cs="Arial" w:eastAsia="Arial" w:hAnsi="Arial"/>
                <w:sz w:val="7"/>
                <w:szCs w:val="7"/>
                <w:b w:val="1"/>
                <w:bCs w:val="1"/>
                <w:color w:val="auto"/>
              </w:rPr>
              <w:t>Amount</w:t>
            </w:r>
          </w:p>
        </w:tc>
        <w:tc>
          <w:tcPr>
            <w:tcW w:w="60" w:type="dxa"/>
            <w:vAlign w:val="bottom"/>
          </w:tcPr>
          <w:p>
            <w:pPr>
              <w:spacing w:after="0"/>
              <w:rPr>
                <w:sz w:val="5"/>
                <w:szCs w:val="5"/>
                <w:color w:val="auto"/>
              </w:rPr>
            </w:pPr>
          </w:p>
        </w:tc>
        <w:tc>
          <w:tcPr>
            <w:tcW w:w="380" w:type="dxa"/>
            <w:vAlign w:val="bottom"/>
            <w:tcBorders>
              <w:top w:val="single" w:sz="8" w:color="auto"/>
            </w:tcBorders>
            <w:gridSpan w:val="2"/>
          </w:tcPr>
          <w:p>
            <w:pPr>
              <w:ind w:left="60"/>
              <w:spacing w:after="0" w:line="67" w:lineRule="exact"/>
              <w:rPr>
                <w:sz w:val="20"/>
                <w:szCs w:val="20"/>
                <w:color w:val="auto"/>
              </w:rPr>
            </w:pPr>
            <w:r>
              <w:rPr>
                <w:rFonts w:ascii="Arial" w:cs="Arial" w:eastAsia="Arial" w:hAnsi="Arial"/>
                <w:sz w:val="7"/>
                <w:szCs w:val="7"/>
                <w:b w:val="1"/>
                <w:bCs w:val="1"/>
                <w:color w:val="auto"/>
              </w:rPr>
              <w:t>Shares</w:t>
            </w: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80" w:type="dxa"/>
            <w:vAlign w:val="bottom"/>
            <w:tcBorders>
              <w:top w:val="single" w:sz="8" w:color="auto"/>
              <w:right w:val="single" w:sz="8" w:color="auto"/>
            </w:tcBorders>
          </w:tcPr>
          <w:p>
            <w:pPr>
              <w:spacing w:after="0" w:line="67" w:lineRule="exact"/>
              <w:rPr>
                <w:sz w:val="20"/>
                <w:szCs w:val="20"/>
                <w:color w:val="auto"/>
              </w:rPr>
            </w:pPr>
            <w:r>
              <w:rPr>
                <w:rFonts w:ascii="Arial" w:cs="Arial" w:eastAsia="Arial" w:hAnsi="Arial"/>
                <w:sz w:val="7"/>
                <w:szCs w:val="7"/>
                <w:b w:val="1"/>
                <w:bCs w:val="1"/>
                <w:color w:val="auto"/>
              </w:rPr>
              <w:t>Amount</w:t>
            </w:r>
          </w:p>
        </w:tc>
        <w:tc>
          <w:tcPr>
            <w:tcW w:w="20" w:type="dxa"/>
            <w:vAlign w:val="bottom"/>
          </w:tcPr>
          <w:p>
            <w:pPr>
              <w:spacing w:after="0"/>
              <w:rPr>
                <w:sz w:val="5"/>
                <w:szCs w:val="5"/>
                <w:color w:val="auto"/>
              </w:rPr>
            </w:pPr>
          </w:p>
        </w:tc>
        <w:tc>
          <w:tcPr>
            <w:tcW w:w="460" w:type="dxa"/>
            <w:vAlign w:val="bottom"/>
            <w:tcBorders>
              <w:top w:val="single" w:sz="8" w:color="auto"/>
            </w:tcBorders>
            <w:gridSpan w:val="2"/>
          </w:tcPr>
          <w:p>
            <w:pPr>
              <w:jc w:val="right"/>
              <w:ind w:right="140"/>
              <w:spacing w:after="0" w:line="67" w:lineRule="exact"/>
              <w:rPr>
                <w:sz w:val="20"/>
                <w:szCs w:val="20"/>
                <w:color w:val="auto"/>
              </w:rPr>
            </w:pPr>
            <w:r>
              <w:rPr>
                <w:rFonts w:ascii="Arial" w:cs="Arial" w:eastAsia="Arial" w:hAnsi="Arial"/>
                <w:sz w:val="7"/>
                <w:szCs w:val="7"/>
                <w:b w:val="1"/>
                <w:bCs w:val="1"/>
                <w:color w:val="auto"/>
              </w:rPr>
              <w:t>Shares</w:t>
            </w:r>
          </w:p>
        </w:tc>
        <w:tc>
          <w:tcPr>
            <w:tcW w:w="280" w:type="dxa"/>
            <w:vAlign w:val="bottom"/>
            <w:tcBorders>
              <w:top w:val="single" w:sz="8" w:color="auto"/>
            </w:tcBorders>
            <w:gridSpan w:val="2"/>
          </w:tcPr>
          <w:p>
            <w:pPr>
              <w:ind w:left="20"/>
              <w:spacing w:after="0" w:line="67" w:lineRule="exact"/>
              <w:rPr>
                <w:sz w:val="20"/>
                <w:szCs w:val="20"/>
                <w:color w:val="auto"/>
              </w:rPr>
            </w:pPr>
            <w:r>
              <w:rPr>
                <w:rFonts w:ascii="Arial" w:cs="Arial" w:eastAsia="Arial" w:hAnsi="Arial"/>
                <w:sz w:val="7"/>
                <w:szCs w:val="7"/>
                <w:b w:val="1"/>
                <w:bCs w:val="1"/>
                <w:color w:val="auto"/>
                <w:w w:val="90"/>
              </w:rPr>
              <w:t>Amount</w:t>
            </w:r>
          </w:p>
        </w:tc>
        <w:tc>
          <w:tcPr>
            <w:tcW w:w="100" w:type="dxa"/>
            <w:vAlign w:val="bottom"/>
          </w:tcPr>
          <w:p>
            <w:pPr>
              <w:spacing w:after="0"/>
              <w:rPr>
                <w:sz w:val="5"/>
                <w:szCs w:val="5"/>
                <w:color w:val="auto"/>
              </w:rPr>
            </w:pPr>
          </w:p>
        </w:tc>
        <w:tc>
          <w:tcPr>
            <w:tcW w:w="380" w:type="dxa"/>
            <w:vAlign w:val="bottom"/>
            <w:tcBorders>
              <w:top w:val="single" w:sz="8" w:color="auto"/>
            </w:tcBorders>
            <w:gridSpan w:val="2"/>
          </w:tcPr>
          <w:p>
            <w:pPr>
              <w:ind w:left="40"/>
              <w:spacing w:after="0" w:line="67" w:lineRule="exact"/>
              <w:rPr>
                <w:sz w:val="20"/>
                <w:szCs w:val="20"/>
                <w:color w:val="auto"/>
              </w:rPr>
            </w:pPr>
            <w:r>
              <w:rPr>
                <w:rFonts w:ascii="Arial" w:cs="Arial" w:eastAsia="Arial" w:hAnsi="Arial"/>
                <w:sz w:val="7"/>
                <w:szCs w:val="7"/>
                <w:b w:val="1"/>
                <w:bCs w:val="1"/>
                <w:color w:val="auto"/>
              </w:rPr>
              <w:t>Shares</w:t>
            </w:r>
          </w:p>
        </w:tc>
        <w:tc>
          <w:tcPr>
            <w:tcW w:w="20" w:type="dxa"/>
            <w:vAlign w:val="bottom"/>
            <w:tcBorders>
              <w:top w:val="single" w:sz="8" w:color="auto"/>
            </w:tcBorders>
          </w:tcPr>
          <w:p>
            <w:pPr>
              <w:spacing w:after="0"/>
              <w:rPr>
                <w:sz w:val="5"/>
                <w:szCs w:val="5"/>
                <w:color w:val="auto"/>
              </w:rPr>
            </w:pPr>
          </w:p>
        </w:tc>
        <w:tc>
          <w:tcPr>
            <w:tcW w:w="280" w:type="dxa"/>
            <w:vAlign w:val="bottom"/>
            <w:tcBorders>
              <w:top w:val="single" w:sz="8" w:color="auto"/>
            </w:tcBorders>
            <w:gridSpan w:val="2"/>
          </w:tcPr>
          <w:p>
            <w:pPr>
              <w:ind w:left="20"/>
              <w:spacing w:after="0" w:line="67" w:lineRule="exact"/>
              <w:rPr>
                <w:sz w:val="20"/>
                <w:szCs w:val="20"/>
                <w:color w:val="auto"/>
              </w:rPr>
            </w:pPr>
            <w:r>
              <w:rPr>
                <w:rFonts w:ascii="Arial" w:cs="Arial" w:eastAsia="Arial" w:hAnsi="Arial"/>
                <w:sz w:val="7"/>
                <w:szCs w:val="7"/>
                <w:b w:val="1"/>
                <w:bCs w:val="1"/>
                <w:color w:val="auto"/>
                <w:w w:val="90"/>
              </w:rPr>
              <w:t>Amount</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gridSpan w:val="2"/>
          </w:tcPr>
          <w:p>
            <w:pPr>
              <w:jc w:val="right"/>
              <w:ind w:right="120"/>
              <w:spacing w:after="0" w:line="67" w:lineRule="exact"/>
              <w:rPr>
                <w:sz w:val="20"/>
                <w:szCs w:val="20"/>
                <w:color w:val="auto"/>
              </w:rPr>
            </w:pPr>
            <w:r>
              <w:rPr>
                <w:rFonts w:ascii="Arial" w:cs="Arial" w:eastAsia="Arial" w:hAnsi="Arial"/>
                <w:sz w:val="7"/>
                <w:szCs w:val="7"/>
                <w:b w:val="1"/>
                <w:bCs w:val="1"/>
                <w:color w:val="auto"/>
              </w:rPr>
              <w:t>Capital</w:t>
            </w:r>
          </w:p>
        </w:tc>
        <w:tc>
          <w:tcPr>
            <w:tcW w:w="560" w:type="dxa"/>
            <w:vAlign w:val="bottom"/>
            <w:gridSpan w:val="3"/>
          </w:tcPr>
          <w:p>
            <w:pPr>
              <w:jc w:val="center"/>
              <w:ind w:right="40"/>
              <w:spacing w:after="0" w:line="67" w:lineRule="exact"/>
              <w:rPr>
                <w:sz w:val="20"/>
                <w:szCs w:val="20"/>
                <w:color w:val="auto"/>
              </w:rPr>
            </w:pPr>
            <w:r>
              <w:rPr>
                <w:rFonts w:ascii="Arial" w:cs="Arial" w:eastAsia="Arial" w:hAnsi="Arial"/>
                <w:sz w:val="7"/>
                <w:szCs w:val="7"/>
                <w:b w:val="1"/>
                <w:bCs w:val="1"/>
                <w:color w:val="auto"/>
              </w:rPr>
              <w:t>Income (Loss)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Borders>
              <w:top w:val="single" w:sz="8" w:color="CCEEFF"/>
            </w:tcBorders>
            <w:shd w:val="clear" w:color="auto" w:fill="CCEEFF"/>
          </w:tcPr>
          <w:p>
            <w:pPr>
              <w:spacing w:after="0" w:line="67" w:lineRule="exact"/>
              <w:rPr>
                <w:sz w:val="20"/>
                <w:szCs w:val="20"/>
                <w:color w:val="auto"/>
              </w:rPr>
            </w:pPr>
            <w:r>
              <w:rPr>
                <w:rFonts w:ascii="Arial" w:cs="Arial" w:eastAsia="Arial" w:hAnsi="Arial"/>
                <w:sz w:val="6"/>
                <w:szCs w:val="6"/>
                <w:b w:val="1"/>
                <w:bCs w:val="1"/>
                <w:color w:val="auto"/>
              </w:rPr>
              <w:t>Balance at</w:t>
            </w:r>
          </w:p>
        </w:tc>
        <w:tc>
          <w:tcPr>
            <w:tcW w:w="3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gridSpan w:val="2"/>
            <w:shd w:val="clear" w:color="auto" w:fill="CCEEFF"/>
          </w:tcPr>
          <w:p>
            <w:pPr>
              <w:spacing w:after="0"/>
              <w:rPr>
                <w:sz w:val="5"/>
                <w:szCs w:val="5"/>
                <w:color w:val="auto"/>
              </w:rPr>
            </w:pPr>
          </w:p>
        </w:tc>
        <w:tc>
          <w:tcPr>
            <w:tcW w:w="30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gridSpan w:val="2"/>
            <w:shd w:val="clear" w:color="auto" w:fill="CCEEFF"/>
          </w:tcPr>
          <w:p>
            <w:pPr>
              <w:spacing w:after="0"/>
              <w:rPr>
                <w:sz w:val="5"/>
                <w:szCs w:val="5"/>
                <w:color w:val="auto"/>
              </w:rPr>
            </w:pPr>
          </w:p>
        </w:tc>
        <w:tc>
          <w:tcPr>
            <w:tcW w:w="36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gridSpan w:val="2"/>
            <w:shd w:val="clear" w:color="auto" w:fill="CCEEFF"/>
          </w:tcPr>
          <w:p>
            <w:pPr>
              <w:spacing w:after="0"/>
              <w:rPr>
                <w:sz w:val="5"/>
                <w:szCs w:val="5"/>
                <w:color w:val="auto"/>
              </w:rPr>
            </w:pPr>
          </w:p>
        </w:tc>
        <w:tc>
          <w:tcPr>
            <w:tcW w:w="360" w:type="dxa"/>
            <w:vAlign w:val="bottom"/>
            <w:tcBorders>
              <w:top w:val="single" w:sz="8" w:color="auto"/>
            </w:tcBorders>
            <w:gridSpan w:val="2"/>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gridSpan w:val="2"/>
            <w:shd w:val="clear" w:color="auto" w:fill="CCEEFF"/>
          </w:tcPr>
          <w:p>
            <w:pPr>
              <w:spacing w:after="0"/>
              <w:rPr>
                <w:sz w:val="5"/>
                <w:szCs w:val="5"/>
                <w:color w:val="auto"/>
              </w:rPr>
            </w:pPr>
          </w:p>
        </w:tc>
        <w:tc>
          <w:tcPr>
            <w:tcW w:w="420" w:type="dxa"/>
            <w:vAlign w:val="bottom"/>
            <w:tcBorders>
              <w:top w:val="single" w:sz="8" w:color="auto"/>
              <w:right w:val="single" w:sz="8" w:color="auto"/>
            </w:tcBorders>
            <w:gridSpan w:val="2"/>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auto"/>
            </w:tcBorders>
            <w:gridSpan w:val="2"/>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gridSpan w:val="2"/>
            <w:shd w:val="clear" w:color="auto" w:fill="CCEEFF"/>
          </w:tcPr>
          <w:p>
            <w:pPr>
              <w:spacing w:after="0"/>
              <w:rPr>
                <w:sz w:val="5"/>
                <w:szCs w:val="5"/>
                <w:color w:val="auto"/>
              </w:rPr>
            </w:pPr>
          </w:p>
        </w:tc>
        <w:tc>
          <w:tcPr>
            <w:tcW w:w="28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gridSpan w:val="2"/>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gridSpan w:val="2"/>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b w:val="1"/>
                <w:bCs w:val="1"/>
                <w:color w:val="auto"/>
              </w:rPr>
              <w:t>December 31,</w:t>
            </w:r>
          </w:p>
        </w:tc>
        <w:tc>
          <w:tcPr>
            <w:tcW w:w="2600" w:type="dxa"/>
            <w:vAlign w:val="bottom"/>
            <w:gridSpan w:val="1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b w:val="1"/>
                <w:bCs w:val="1"/>
                <w:color w:val="auto"/>
              </w:rPr>
              <w:t>2024</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23,343</w:t>
            </w:r>
          </w:p>
        </w:tc>
        <w:tc>
          <w:tcPr>
            <w:tcW w:w="60" w:type="dxa"/>
            <w:vAlign w:val="bottom"/>
            <w:shd w:val="clear" w:color="auto" w:fill="CCEEFF"/>
          </w:tcPr>
          <w:p>
            <w:pPr>
              <w:spacing w:after="0"/>
              <w:rPr>
                <w:sz w:val="9"/>
                <w:szCs w:val="9"/>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5,236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225,866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63,536</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442,205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8"/>
              </w:rPr>
              <w:t>134,975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w w:val="88"/>
              </w:rPr>
              <w:t>— </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946,000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2"/>
              </w:rPr>
              <w:t>132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w w:val="73"/>
              </w:rPr>
              <w:t>— </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2,905</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center"/>
              <w:ind w:left="217"/>
              <w:spacing w:after="0"/>
              <w:rPr>
                <w:sz w:val="20"/>
                <w:szCs w:val="20"/>
                <w:color w:val="auto"/>
              </w:rPr>
            </w:pPr>
            <w:r>
              <w:rPr>
                <w:rFonts w:ascii="Arial" w:cs="Arial" w:eastAsia="Arial" w:hAnsi="Arial"/>
                <w:sz w:val="9"/>
                <w:szCs w:val="9"/>
                <w:color w:val="auto"/>
                <w:w w:val="94"/>
              </w:rPr>
              <w:t>(365)</w:t>
            </w:r>
          </w:p>
        </w:tc>
        <w:tc>
          <w:tcPr>
            <w:tcW w:w="0" w:type="dxa"/>
            <w:vAlign w:val="bottom"/>
          </w:tcPr>
          <w:p>
            <w:pPr>
              <w:spacing w:after="0"/>
              <w:rPr>
                <w:sz w:val="1"/>
                <w:szCs w:val="1"/>
                <w:color w:val="auto"/>
              </w:rPr>
            </w:pPr>
          </w:p>
        </w:tc>
      </w:tr>
      <w:tr>
        <w:trPr>
          <w:trHeight w:val="8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Equity-based</w:t>
            </w:r>
          </w:p>
        </w:tc>
        <w:tc>
          <w:tcPr>
            <w:tcW w:w="2600" w:type="dxa"/>
            <w:vAlign w:val="bottom"/>
            <w:gridSpan w:val="18"/>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ind w:left="80"/>
              <w:spacing w:after="0"/>
              <w:rPr>
                <w:sz w:val="20"/>
                <w:szCs w:val="20"/>
                <w:color w:val="auto"/>
              </w:rPr>
            </w:pPr>
            <w:r>
              <w:rPr>
                <w:rFonts w:ascii="Arial" w:cs="Arial" w:eastAsia="Arial" w:hAnsi="Arial"/>
                <w:sz w:val="9"/>
                <w:szCs w:val="9"/>
                <w:color w:val="auto"/>
              </w:rPr>
              <w:t>compensation</w:t>
            </w: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— </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tcPr>
          <w:p>
            <w:pPr>
              <w:ind w:left="180"/>
              <w:spacing w:after="0"/>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340" w:type="dxa"/>
            <w:vAlign w:val="bottom"/>
            <w:gridSpan w:val="2"/>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w w:val="73"/>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ind w:left="60"/>
              <w:spacing w:after="0"/>
              <w:rPr>
                <w:sz w:val="20"/>
                <w:szCs w:val="20"/>
                <w:color w:val="auto"/>
              </w:rPr>
            </w:pPr>
            <w:r>
              <w:rPr>
                <w:rFonts w:ascii="Arial" w:cs="Arial" w:eastAsia="Arial" w:hAnsi="Arial"/>
                <w:sz w:val="9"/>
                <w:szCs w:val="9"/>
                <w:color w:val="auto"/>
                <w:w w:val="73"/>
              </w:rPr>
              <w:t>— </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rPr>
              <w:t>459</w:t>
            </w:r>
          </w:p>
        </w:tc>
        <w:tc>
          <w:tcPr>
            <w:tcW w:w="100" w:type="dxa"/>
            <w:vAlign w:val="bottom"/>
          </w:tcPr>
          <w:p>
            <w:pPr>
              <w:spacing w:after="0"/>
              <w:rPr>
                <w:sz w:val="9"/>
                <w:szCs w:val="9"/>
                <w:color w:val="auto"/>
              </w:rPr>
            </w:pPr>
          </w:p>
        </w:tc>
        <w:tc>
          <w:tcPr>
            <w:tcW w:w="460" w:type="dxa"/>
            <w:vAlign w:val="bottom"/>
            <w:gridSpan w:val="2"/>
          </w:tcPr>
          <w:p>
            <w:pPr>
              <w:jc w:val="center"/>
              <w:ind w:left="217"/>
              <w:spacing w:after="0"/>
              <w:rPr>
                <w:sz w:val="20"/>
                <w:szCs w:val="20"/>
                <w:color w:val="auto"/>
              </w:rPr>
            </w:pPr>
            <w:r>
              <w:rPr>
                <w:rFonts w:ascii="Arial" w:cs="Arial" w:eastAsia="Arial" w:hAnsi="Arial"/>
                <w:sz w:val="9"/>
                <w:szCs w:val="9"/>
                <w:color w:val="auto"/>
                <w:w w:val="88"/>
              </w:rPr>
              <w:t>— </w:t>
            </w:r>
          </w:p>
        </w:tc>
        <w:tc>
          <w:tcPr>
            <w:tcW w:w="0" w:type="dxa"/>
            <w:vAlign w:val="bottom"/>
          </w:tcPr>
          <w:p>
            <w:pPr>
              <w:spacing w:after="0"/>
              <w:rPr>
                <w:sz w:val="1"/>
                <w:szCs w:val="1"/>
                <w:color w:val="auto"/>
              </w:rPr>
            </w:pPr>
          </w:p>
        </w:tc>
      </w:tr>
      <w:tr>
        <w:trPr>
          <w:trHeight w:val="8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Other</w:t>
            </w:r>
          </w:p>
        </w:tc>
        <w:tc>
          <w:tcPr>
            <w:tcW w:w="2600" w:type="dxa"/>
            <w:vAlign w:val="bottom"/>
            <w:gridSpan w:val="18"/>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comprehensive</w:t>
            </w:r>
          </w:p>
        </w:tc>
        <w:tc>
          <w:tcPr>
            <w:tcW w:w="2600" w:type="dxa"/>
            <w:vAlign w:val="bottom"/>
            <w:gridSpan w:val="1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color w:val="auto"/>
              </w:rPr>
              <w:t>income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— </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w w:val="88"/>
              </w:rPr>
              <w:t>— </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73"/>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w w:val="73"/>
              </w:rPr>
              <w:t>— </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center"/>
              <w:ind w:left="237"/>
              <w:spacing w:after="0"/>
              <w:rPr>
                <w:sz w:val="20"/>
                <w:szCs w:val="20"/>
                <w:color w:val="auto"/>
              </w:rPr>
            </w:pPr>
            <w:r>
              <w:rPr>
                <w:rFonts w:ascii="Arial" w:cs="Arial" w:eastAsia="Arial" w:hAnsi="Arial"/>
                <w:sz w:val="9"/>
                <w:szCs w:val="9"/>
                <w:color w:val="auto"/>
                <w:w w:val="92"/>
              </w:rPr>
              <w:t>974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line="98" w:lineRule="exact"/>
              <w:rPr>
                <w:sz w:val="20"/>
                <w:szCs w:val="20"/>
                <w:color w:val="auto"/>
              </w:rPr>
            </w:pPr>
            <w:r>
              <w:rPr>
                <w:rFonts w:ascii="Arial" w:cs="Arial" w:eastAsia="Arial" w:hAnsi="Arial"/>
                <w:sz w:val="9"/>
                <w:szCs w:val="9"/>
                <w:color w:val="auto"/>
              </w:rPr>
              <w:t>Net loss</w:t>
            </w:r>
          </w:p>
        </w:tc>
        <w:tc>
          <w:tcPr>
            <w:tcW w:w="4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 xml:space="preserve">— </w:t>
            </w: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320" w:type="dxa"/>
            <w:vAlign w:val="bottom"/>
          </w:tcPr>
          <w:p>
            <w:pPr>
              <w:ind w:left="180"/>
              <w:spacing w:after="0" w:line="98" w:lineRule="exact"/>
              <w:rPr>
                <w:sz w:val="20"/>
                <w:szCs w:val="20"/>
                <w:color w:val="auto"/>
              </w:rPr>
            </w:pPr>
            <w:r>
              <w:rPr>
                <w:rFonts w:ascii="Arial" w:cs="Arial" w:eastAsia="Arial" w:hAnsi="Arial"/>
                <w:sz w:val="9"/>
                <w:szCs w:val="9"/>
                <w:color w:val="auto"/>
              </w:rPr>
              <w:t xml:space="preserve">—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ind w:left="80"/>
              <w:spacing w:after="0" w:line="98" w:lineRule="exact"/>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8"/>
                <w:szCs w:val="8"/>
                <w:color w:val="auto"/>
              </w:rPr>
            </w:pPr>
          </w:p>
        </w:tc>
        <w:tc>
          <w:tcPr>
            <w:tcW w:w="42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340" w:type="dxa"/>
            <w:vAlign w:val="bottom"/>
            <w:gridSpan w:val="2"/>
          </w:tcPr>
          <w:p>
            <w:pPr>
              <w:ind w:left="140"/>
              <w:spacing w:after="0" w:line="98" w:lineRule="exact"/>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200"/>
              <w:spacing w:after="0" w:line="98" w:lineRule="exact"/>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ind w:left="20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80" w:type="dxa"/>
            <w:vAlign w:val="bottom"/>
          </w:tcPr>
          <w:p>
            <w:pPr>
              <w:spacing w:after="0"/>
              <w:rPr>
                <w:sz w:val="8"/>
                <w:szCs w:val="8"/>
                <w:color w:val="auto"/>
              </w:rPr>
            </w:pPr>
          </w:p>
        </w:tc>
        <w:tc>
          <w:tcPr>
            <w:tcW w:w="300" w:type="dxa"/>
            <w:vAlign w:val="bottom"/>
            <w:gridSpan w:val="2"/>
          </w:tcPr>
          <w:p>
            <w:pPr>
              <w:jc w:val="center"/>
              <w:ind w:right="40"/>
              <w:spacing w:after="0" w:line="98" w:lineRule="exact"/>
              <w:rPr>
                <w:sz w:val="20"/>
                <w:szCs w:val="20"/>
                <w:color w:val="auto"/>
              </w:rPr>
            </w:pPr>
            <w:r>
              <w:rPr>
                <w:rFonts w:ascii="Arial" w:cs="Arial" w:eastAsia="Arial" w:hAnsi="Arial"/>
                <w:sz w:val="9"/>
                <w:szCs w:val="9"/>
                <w:color w:val="auto"/>
              </w:rPr>
              <w:t xml:space="preserve">—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ind w:left="60"/>
              <w:spacing w:after="0" w:line="98" w:lineRule="exact"/>
              <w:rPr>
                <w:sz w:val="20"/>
                <w:szCs w:val="20"/>
                <w:color w:val="auto"/>
              </w:rPr>
            </w:pPr>
            <w:r>
              <w:rPr>
                <w:rFonts w:ascii="Arial" w:cs="Arial" w:eastAsia="Arial" w:hAnsi="Arial"/>
                <w:sz w:val="9"/>
                <w:szCs w:val="9"/>
                <w:color w:val="auto"/>
                <w:w w:val="73"/>
              </w:rPr>
              <w:t>— </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100" w:type="dxa"/>
            <w:vAlign w:val="bottom"/>
          </w:tcPr>
          <w:p>
            <w:pPr>
              <w:spacing w:after="0"/>
              <w:rPr>
                <w:sz w:val="8"/>
                <w:szCs w:val="8"/>
                <w:color w:val="auto"/>
              </w:rPr>
            </w:pPr>
          </w:p>
        </w:tc>
        <w:tc>
          <w:tcPr>
            <w:tcW w:w="460" w:type="dxa"/>
            <w:vAlign w:val="bottom"/>
            <w:gridSpan w:val="2"/>
          </w:tcPr>
          <w:p>
            <w:pPr>
              <w:jc w:val="center"/>
              <w:ind w:left="217"/>
              <w:spacing w:after="0" w:line="98" w:lineRule="exact"/>
              <w:rPr>
                <w:sz w:val="20"/>
                <w:szCs w:val="20"/>
                <w:color w:val="auto"/>
              </w:rPr>
            </w:pPr>
            <w:r>
              <w:rPr>
                <w:rFonts w:ascii="Arial" w:cs="Arial" w:eastAsia="Arial" w:hAnsi="Arial"/>
                <w:sz w:val="9"/>
                <w:szCs w:val="9"/>
                <w:color w:val="auto"/>
                <w:w w:val="88"/>
              </w:rPr>
              <w:t>— </w:t>
            </w:r>
          </w:p>
        </w:tc>
        <w:tc>
          <w:tcPr>
            <w:tcW w:w="0" w:type="dxa"/>
            <w:vAlign w:val="bottom"/>
          </w:tcPr>
          <w:p>
            <w:pPr>
              <w:spacing w:after="0"/>
              <w:rPr>
                <w:sz w:val="1"/>
                <w:szCs w:val="1"/>
                <w:color w:val="auto"/>
              </w:rPr>
            </w:pPr>
          </w:p>
        </w:tc>
      </w:tr>
      <w:tr>
        <w:trPr>
          <w:trHeight w:val="87"/>
        </w:trPr>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Balance at</w:t>
            </w: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420" w:type="dxa"/>
            <w:vAlign w:val="bottom"/>
            <w:tcBorders>
              <w:top w:val="single" w:sz="8" w:color="auto"/>
              <w:right w:val="single" w:sz="8" w:color="auto"/>
            </w:tcBorders>
            <w:gridSpan w:val="2"/>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b w:val="1"/>
                <w:bCs w:val="1"/>
                <w:color w:val="auto"/>
              </w:rPr>
              <w:t>March 31,</w:t>
            </w:r>
          </w:p>
        </w:tc>
        <w:tc>
          <w:tcPr>
            <w:tcW w:w="2600" w:type="dxa"/>
            <w:vAlign w:val="bottom"/>
            <w:gridSpan w:val="1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b w:val="1"/>
                <w:bCs w:val="1"/>
                <w:color w:val="auto"/>
              </w:rPr>
              <w:t>2025</w:t>
            </w:r>
          </w:p>
        </w:tc>
        <w:tc>
          <w:tcPr>
            <w:tcW w:w="340" w:type="dxa"/>
            <w:vAlign w:val="bottom"/>
            <w:shd w:val="clear" w:color="auto" w:fill="CCEEFF"/>
          </w:tcPr>
          <w:p>
            <w:pPr>
              <w:jc w:val="right"/>
              <w:spacing w:after="0"/>
              <w:rPr>
                <w:sz w:val="20"/>
                <w:szCs w:val="20"/>
                <w:color w:val="auto"/>
              </w:rPr>
            </w:pPr>
            <w:r>
              <w:rPr>
                <w:rFonts w:ascii="Arial" w:cs="Arial" w:eastAsia="Arial" w:hAnsi="Arial"/>
                <w:sz w:val="9"/>
                <w:szCs w:val="9"/>
                <w:color w:val="auto"/>
              </w:rPr>
              <w:t>23,343</w:t>
            </w:r>
          </w:p>
        </w:tc>
        <w:tc>
          <w:tcPr>
            <w:tcW w:w="60" w:type="dxa"/>
            <w:vAlign w:val="bottom"/>
            <w:shd w:val="clear" w:color="auto" w:fill="CCEEFF"/>
          </w:tcPr>
          <w:p>
            <w:pPr>
              <w:spacing w:after="0"/>
              <w:rPr>
                <w:sz w:val="9"/>
                <w:szCs w:val="9"/>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7"/>
              </w:rPr>
              <w:t>5,236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225,866</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9"/>
                <w:szCs w:val="9"/>
                <w:color w:val="auto"/>
              </w:rPr>
              <w:t>63,536</w:t>
            </w:r>
          </w:p>
        </w:tc>
        <w:tc>
          <w:tcPr>
            <w:tcW w:w="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442,205</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w w:val="98"/>
              </w:rPr>
              <w:t>134,975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rPr>
              <w:t xml:space="preserve">— </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ind w:left="80"/>
              <w:spacing w:after="0"/>
              <w:rPr>
                <w:sz w:val="20"/>
                <w:szCs w:val="20"/>
                <w:color w:val="auto"/>
              </w:rPr>
            </w:pPr>
            <w:r>
              <w:rPr>
                <w:rFonts w:ascii="Arial" w:cs="Arial" w:eastAsia="Arial" w:hAnsi="Arial"/>
                <w:sz w:val="9"/>
                <w:szCs w:val="9"/>
                <w:color w:val="auto"/>
              </w:rPr>
              <w:t xml:space="preserve">—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 xml:space="preserve">—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946,000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92"/>
              </w:rPr>
              <w:t>132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rPr>
              <w:t xml:space="preserve">— </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3,364</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center"/>
              <w:ind w:left="237"/>
              <w:spacing w:after="0"/>
              <w:rPr>
                <w:sz w:val="20"/>
                <w:szCs w:val="20"/>
                <w:color w:val="auto"/>
              </w:rPr>
            </w:pPr>
            <w:r>
              <w:rPr>
                <w:rFonts w:ascii="Arial" w:cs="Arial" w:eastAsia="Arial" w:hAnsi="Arial"/>
                <w:sz w:val="9"/>
                <w:szCs w:val="9"/>
                <w:color w:val="auto"/>
                <w:w w:val="92"/>
              </w:rPr>
              <w:t>609</w:t>
            </w:r>
          </w:p>
        </w:tc>
        <w:tc>
          <w:tcPr>
            <w:tcW w:w="0" w:type="dxa"/>
            <w:vAlign w:val="bottom"/>
          </w:tcPr>
          <w:p>
            <w:pPr>
              <w:spacing w:after="0"/>
              <w:rPr>
                <w:sz w:val="1"/>
                <w:szCs w:val="1"/>
                <w:color w:val="auto"/>
              </w:rPr>
            </w:pPr>
          </w:p>
        </w:tc>
      </w:tr>
      <w:tr>
        <w:trPr>
          <w:trHeight w:val="20"/>
        </w:trPr>
        <w:tc>
          <w:tcPr>
            <w:tcW w:w="7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Balance at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720" w:type="dxa"/>
            <w:vAlign w:val="bottom"/>
            <w:gridSpan w:val="2"/>
            <w:vMerge w:val="continue"/>
          </w:tcPr>
          <w:p>
            <w:pPr>
              <w:spacing w:after="0"/>
              <w:rPr>
                <w:sz w:val="6"/>
                <w:szCs w:val="6"/>
                <w:color w:val="auto"/>
              </w:rPr>
            </w:pPr>
          </w:p>
        </w:tc>
        <w:tc>
          <w:tcPr>
            <w:tcW w:w="6820" w:type="dxa"/>
            <w:vAlign w:val="bottom"/>
            <w:tcBorders>
              <w:right w:val="single" w:sz="8" w:color="auto"/>
            </w:tcBorders>
            <w:gridSpan w:val="43"/>
          </w:tcPr>
          <w:p>
            <w:pPr>
              <w:spacing w:after="0"/>
              <w:rPr>
                <w:sz w:val="6"/>
                <w:szCs w:val="6"/>
                <w:color w:val="auto"/>
              </w:rPr>
            </w:pPr>
          </w:p>
        </w:tc>
        <w:tc>
          <w:tcPr>
            <w:tcW w:w="2600" w:type="dxa"/>
            <w:vAlign w:val="bottom"/>
            <w:gridSpan w:val="18"/>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b w:val="1"/>
                <w:bCs w:val="1"/>
                <w:color w:val="auto"/>
              </w:rPr>
              <w:t>December 31,</w:t>
            </w:r>
          </w:p>
        </w:tc>
        <w:tc>
          <w:tcPr>
            <w:tcW w:w="2600" w:type="dxa"/>
            <w:vAlign w:val="bottom"/>
            <w:gridSpan w:val="18"/>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720" w:type="dxa"/>
            <w:vAlign w:val="bottom"/>
            <w:gridSpan w:val="2"/>
          </w:tcPr>
          <w:p>
            <w:pPr>
              <w:ind w:left="100"/>
              <w:spacing w:after="0"/>
              <w:rPr>
                <w:sz w:val="20"/>
                <w:szCs w:val="20"/>
                <w:color w:val="auto"/>
              </w:rPr>
            </w:pPr>
            <w:r>
              <w:rPr>
                <w:rFonts w:ascii="Arial" w:cs="Arial" w:eastAsia="Arial" w:hAnsi="Arial"/>
                <w:sz w:val="9"/>
                <w:szCs w:val="9"/>
                <w:b w:val="1"/>
                <w:bCs w:val="1"/>
                <w:color w:val="auto"/>
              </w:rPr>
              <w:t>2025</w:t>
            </w:r>
          </w:p>
        </w:tc>
        <w:tc>
          <w:tcPr>
            <w:tcW w:w="340" w:type="dxa"/>
            <w:vAlign w:val="bottom"/>
          </w:tcPr>
          <w:p>
            <w:pPr>
              <w:jc w:val="right"/>
              <w:spacing w:after="0"/>
              <w:rPr>
                <w:sz w:val="20"/>
                <w:szCs w:val="20"/>
                <w:color w:val="auto"/>
              </w:rPr>
            </w:pPr>
            <w:r>
              <w:rPr>
                <w:rFonts w:ascii="Arial" w:cs="Arial" w:eastAsia="Arial" w:hAnsi="Arial"/>
                <w:sz w:val="9"/>
                <w:szCs w:val="9"/>
                <w:color w:val="auto"/>
              </w:rPr>
              <w:t>23,343</w:t>
            </w:r>
          </w:p>
        </w:tc>
        <w:tc>
          <w:tcPr>
            <w:tcW w:w="60" w:type="dxa"/>
            <w:vAlign w:val="bottom"/>
          </w:tcPr>
          <w:p>
            <w:pPr>
              <w:spacing w:after="0"/>
              <w:rPr>
                <w:sz w:val="9"/>
                <w:szCs w:val="9"/>
                <w:color w:val="auto"/>
              </w:rPr>
            </w:pPr>
          </w:p>
        </w:tc>
        <w:tc>
          <w:tcPr>
            <w:tcW w:w="8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9"/>
                <w:szCs w:val="9"/>
                <w:color w:val="auto"/>
                <w:w w:val="97"/>
              </w:rPr>
              <w:t>5,236</w:t>
            </w:r>
          </w:p>
        </w:tc>
        <w:tc>
          <w:tcPr>
            <w:tcW w:w="440" w:type="dxa"/>
            <w:vAlign w:val="bottom"/>
            <w:gridSpan w:val="2"/>
          </w:tcPr>
          <w:p>
            <w:pPr>
              <w:jc w:val="right"/>
              <w:ind w:right="60"/>
              <w:spacing w:after="0"/>
              <w:rPr>
                <w:sz w:val="20"/>
                <w:szCs w:val="20"/>
                <w:color w:val="auto"/>
              </w:rPr>
            </w:pPr>
            <w:r>
              <w:rPr>
                <w:rFonts w:ascii="Arial" w:cs="Arial" w:eastAsia="Arial" w:hAnsi="Arial"/>
                <w:sz w:val="9"/>
                <w:szCs w:val="9"/>
                <w:color w:val="auto"/>
              </w:rPr>
              <w:t>225,866</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tcPr>
          <w:p>
            <w:pPr>
              <w:jc w:val="right"/>
              <w:spacing w:after="0"/>
              <w:rPr>
                <w:sz w:val="20"/>
                <w:szCs w:val="20"/>
                <w:color w:val="auto"/>
              </w:rPr>
            </w:pPr>
            <w:r>
              <w:rPr>
                <w:rFonts w:ascii="Arial" w:cs="Arial" w:eastAsia="Arial" w:hAnsi="Arial"/>
                <w:sz w:val="9"/>
                <w:szCs w:val="9"/>
                <w:color w:val="auto"/>
              </w:rPr>
              <w:t>63,536</w:t>
            </w:r>
          </w:p>
        </w:tc>
        <w:tc>
          <w:tcPr>
            <w:tcW w:w="80" w:type="dxa"/>
            <w:vAlign w:val="bottom"/>
          </w:tcPr>
          <w:p>
            <w:pPr>
              <w:spacing w:after="0"/>
              <w:rPr>
                <w:sz w:val="9"/>
                <w:szCs w:val="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442,205</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w w:val="98"/>
              </w:rPr>
              <w:t>134,975</w:t>
            </w:r>
          </w:p>
        </w:tc>
        <w:tc>
          <w:tcPr>
            <w:tcW w:w="460" w:type="dxa"/>
            <w:vAlign w:val="bottom"/>
            <w:gridSpan w:val="2"/>
          </w:tcPr>
          <w:p>
            <w:pPr>
              <w:jc w:val="right"/>
              <w:ind w:right="80"/>
              <w:spacing w:after="0"/>
              <w:rPr>
                <w:sz w:val="20"/>
                <w:szCs w:val="20"/>
                <w:color w:val="auto"/>
              </w:rPr>
            </w:pPr>
            <w:r>
              <w:rPr>
                <w:rFonts w:ascii="Arial" w:cs="Arial" w:eastAsia="Arial" w:hAnsi="Arial"/>
                <w:sz w:val="9"/>
                <w:szCs w:val="9"/>
                <w:color w:val="auto"/>
              </w:rPr>
              <w:t>512,991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80"/>
              <w:spacing w:after="0"/>
              <w:rPr>
                <w:sz w:val="20"/>
                <w:szCs w:val="20"/>
                <w:color w:val="auto"/>
              </w:rPr>
            </w:pPr>
            <w:r>
              <w:rPr>
                <w:rFonts w:ascii="Arial" w:cs="Arial" w:eastAsia="Arial" w:hAnsi="Arial"/>
                <w:sz w:val="9"/>
                <w:szCs w:val="9"/>
                <w:color w:val="auto"/>
                <w:w w:val="98"/>
              </w:rPr>
              <w:t>156,421</w:t>
            </w:r>
          </w:p>
        </w:tc>
        <w:tc>
          <w:tcPr>
            <w:tcW w:w="320" w:type="dxa"/>
            <w:vAlign w:val="bottom"/>
          </w:tcPr>
          <w:p>
            <w:pPr>
              <w:ind w:left="180"/>
              <w:spacing w:after="0"/>
              <w:rPr>
                <w:sz w:val="20"/>
                <w:szCs w:val="20"/>
                <w:color w:val="auto"/>
              </w:rPr>
            </w:pPr>
            <w:r>
              <w:rPr>
                <w:rFonts w:ascii="Arial" w:cs="Arial" w:eastAsia="Arial" w:hAnsi="Arial"/>
                <w:sz w:val="9"/>
                <w:szCs w:val="9"/>
                <w:color w:val="auto"/>
                <w:w w:val="88"/>
              </w:rPr>
              <w:t>— </w:t>
            </w:r>
          </w:p>
        </w:tc>
        <w:tc>
          <w:tcPr>
            <w:tcW w:w="120" w:type="dxa"/>
            <w:vAlign w:val="bottom"/>
            <w:gridSpan w:val="2"/>
          </w:tcPr>
          <w:p>
            <w:pPr>
              <w:ind w:left="60"/>
              <w:spacing w:after="0"/>
              <w:rPr>
                <w:sz w:val="20"/>
                <w:szCs w:val="20"/>
                <w:color w:val="auto"/>
              </w:rPr>
            </w:pPr>
            <w:r>
              <w:rPr>
                <w:rFonts w:ascii="Arial" w:cs="Arial" w:eastAsia="Arial" w:hAnsi="Arial"/>
                <w:sz w:val="9"/>
                <w:szCs w:val="9"/>
                <w:color w:val="auto"/>
                <w:w w:val="78"/>
              </w:rPr>
              <w:t>$</w:t>
            </w:r>
          </w:p>
        </w:tc>
        <w:tc>
          <w:tcPr>
            <w:tcW w:w="220" w:type="dxa"/>
            <w:vAlign w:val="bottom"/>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380" w:type="dxa"/>
            <w:vAlign w:val="bottom"/>
            <w:gridSpan w:val="2"/>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80" w:type="dxa"/>
            <w:vAlign w:val="bottom"/>
            <w:gridSpan w:val="2"/>
          </w:tcPr>
          <w:p>
            <w:pPr>
              <w:jc w:val="right"/>
              <w:spacing w:after="0"/>
              <w:rPr>
                <w:sz w:val="20"/>
                <w:szCs w:val="20"/>
                <w:color w:val="auto"/>
              </w:rPr>
            </w:pPr>
            <w:r>
              <w:rPr>
                <w:rFonts w:ascii="Arial" w:cs="Arial" w:eastAsia="Arial" w:hAnsi="Arial"/>
                <w:sz w:val="9"/>
                <w:szCs w:val="9"/>
                <w:color w:val="auto"/>
              </w:rPr>
              <w:t>$</w:t>
            </w:r>
          </w:p>
        </w:tc>
        <w:tc>
          <w:tcPr>
            <w:tcW w:w="38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946,000</w:t>
            </w:r>
          </w:p>
        </w:tc>
        <w:tc>
          <w:tcPr>
            <w:tcW w:w="80" w:type="dxa"/>
            <w:vAlign w:val="bottom"/>
          </w:tcPr>
          <w:p>
            <w:pPr>
              <w:spacing w:after="0"/>
              <w:rPr>
                <w:sz w:val="9"/>
                <w:szCs w:val="9"/>
                <w:color w:val="auto"/>
              </w:rPr>
            </w:pPr>
          </w:p>
        </w:tc>
        <w:tc>
          <w:tcPr>
            <w:tcW w:w="80" w:type="dxa"/>
            <w:vAlign w:val="bottom"/>
          </w:tcPr>
          <w:p>
            <w:pPr>
              <w:spacing w:after="0"/>
              <w:rPr>
                <w:sz w:val="20"/>
                <w:szCs w:val="20"/>
                <w:color w:val="auto"/>
              </w:rPr>
            </w:pPr>
            <w:r>
              <w:rPr>
                <w:rFonts w:ascii="Arial" w:cs="Arial" w:eastAsia="Arial" w:hAnsi="Arial"/>
                <w:sz w:val="9"/>
                <w:szCs w:val="9"/>
                <w:color w:val="auto"/>
              </w:rPr>
              <w:t>$</w:t>
            </w: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w w:val="92"/>
              </w:rPr>
              <w:t>132</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12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180" w:type="dxa"/>
            <w:vAlign w:val="bottom"/>
          </w:tcPr>
          <w:p>
            <w:pPr>
              <w:ind w:left="60"/>
              <w:spacing w:after="0"/>
              <w:rPr>
                <w:sz w:val="20"/>
                <w:szCs w:val="20"/>
                <w:color w:val="auto"/>
              </w:rPr>
            </w:pPr>
            <w:r>
              <w:rPr>
                <w:rFonts w:ascii="Arial" w:cs="Arial" w:eastAsia="Arial" w:hAnsi="Arial"/>
                <w:sz w:val="9"/>
                <w:szCs w:val="9"/>
                <w:color w:val="auto"/>
                <w:w w:val="73"/>
              </w:rPr>
              <w:t>— </w:t>
            </w:r>
          </w:p>
        </w:tc>
        <w:tc>
          <w:tcPr>
            <w:tcW w:w="120" w:type="dxa"/>
            <w:vAlign w:val="bottom"/>
            <w:gridSpan w:val="2"/>
          </w:tcPr>
          <w:p>
            <w:pPr>
              <w:ind w:left="80"/>
              <w:spacing w:after="0"/>
              <w:rPr>
                <w:sz w:val="20"/>
                <w:szCs w:val="20"/>
                <w:color w:val="auto"/>
              </w:rPr>
            </w:pPr>
            <w:r>
              <w:rPr>
                <w:rFonts w:ascii="Arial" w:cs="Arial" w:eastAsia="Arial" w:hAnsi="Arial"/>
                <w:sz w:val="5"/>
                <w:szCs w:val="5"/>
                <w:color w:val="auto"/>
                <w:w w:val="70"/>
              </w:rPr>
              <w:t>$</w:t>
            </w: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rPr>
              <w:t>4,916</w:t>
            </w:r>
          </w:p>
        </w:tc>
        <w:tc>
          <w:tcPr>
            <w:tcW w:w="100" w:type="dxa"/>
            <w:vAlign w:val="bottom"/>
          </w:tcPr>
          <w:p>
            <w:pPr>
              <w:spacing w:after="0"/>
              <w:rPr>
                <w:sz w:val="20"/>
                <w:szCs w:val="20"/>
                <w:color w:val="auto"/>
              </w:rPr>
            </w:pPr>
            <w:r>
              <w:rPr>
                <w:rFonts w:ascii="Arial" w:cs="Arial" w:eastAsia="Arial" w:hAnsi="Arial"/>
                <w:sz w:val="9"/>
                <w:szCs w:val="9"/>
                <w:color w:val="auto"/>
              </w:rPr>
              <w:t>$</w:t>
            </w:r>
          </w:p>
        </w:tc>
        <w:tc>
          <w:tcPr>
            <w:tcW w:w="460" w:type="dxa"/>
            <w:vAlign w:val="bottom"/>
            <w:gridSpan w:val="2"/>
          </w:tcPr>
          <w:p>
            <w:pPr>
              <w:jc w:val="center"/>
              <w:ind w:left="237"/>
              <w:spacing w:after="0"/>
              <w:rPr>
                <w:sz w:val="20"/>
                <w:szCs w:val="20"/>
                <w:color w:val="auto"/>
              </w:rPr>
            </w:pPr>
            <w:r>
              <w:rPr>
                <w:rFonts w:ascii="Arial" w:cs="Arial" w:eastAsia="Arial" w:hAnsi="Arial"/>
                <w:sz w:val="9"/>
                <w:szCs w:val="9"/>
                <w:color w:val="auto"/>
                <w:w w:val="92"/>
              </w:rPr>
              <w:t>175</w:t>
            </w:r>
          </w:p>
        </w:tc>
        <w:tc>
          <w:tcPr>
            <w:tcW w:w="0" w:type="dxa"/>
            <w:vAlign w:val="bottom"/>
          </w:tcPr>
          <w:p>
            <w:pPr>
              <w:spacing w:after="0"/>
              <w:rPr>
                <w:sz w:val="1"/>
                <w:szCs w:val="1"/>
                <w:color w:val="auto"/>
              </w:rPr>
            </w:pPr>
          </w:p>
        </w:tc>
      </w:tr>
      <w:tr>
        <w:trPr>
          <w:trHeight w:val="8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Effect of</w:t>
            </w:r>
          </w:p>
        </w:tc>
        <w:tc>
          <w:tcPr>
            <w:tcW w:w="2600" w:type="dxa"/>
            <w:vAlign w:val="bottom"/>
            <w:gridSpan w:val="18"/>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color w:val="auto"/>
                <w:w w:val="99"/>
              </w:rPr>
              <w:t>Reorganization</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(23,343)</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1"/>
              </w:rPr>
              <w:t>(5,236)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8"/>
              </w:rPr>
              <w:t>(225,866)</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89"/>
              </w:rPr>
              <w:t>(63,536)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(442,205)</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3"/>
              </w:rPr>
              <w:t>(134,975)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8"/>
              </w:rPr>
              <w:t>(512,991)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3"/>
              </w:rPr>
              <w:t>(156,421)</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w w:val="94"/>
              </w:rPr>
              <w:t>23,343</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9"/>
                <w:szCs w:val="9"/>
                <w:color w:val="auto"/>
                <w:w w:val="88"/>
              </w:rPr>
              <w:t>5,236</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225,866</w:t>
            </w:r>
          </w:p>
        </w:tc>
        <w:tc>
          <w:tcPr>
            <w:tcW w:w="40" w:type="dxa"/>
            <w:vAlign w:val="bottom"/>
            <w:shd w:val="clear" w:color="auto" w:fill="CCEEFF"/>
          </w:tcPr>
          <w:p>
            <w:pPr>
              <w:spacing w:after="0"/>
              <w:rPr>
                <w:sz w:val="9"/>
                <w:szCs w:val="9"/>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63,536</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8"/>
              </w:rPr>
              <w:t>442,205</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134,975</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8"/>
              </w:rPr>
              <w:t>512,991</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98"/>
              </w:rPr>
              <w:t>156,421</w:t>
            </w: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w w:val="98"/>
              </w:rPr>
              <w:t>(946,000)</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4"/>
              </w:rPr>
              <w:t>(132)</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946,000</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w w:val="73"/>
              </w:rPr>
              <w:t>— </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132</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center"/>
              <w:ind w:left="217"/>
              <w:spacing w:after="0"/>
              <w:rPr>
                <w:sz w:val="20"/>
                <w:szCs w:val="20"/>
                <w:color w:val="auto"/>
              </w:rPr>
            </w:pPr>
            <w:r>
              <w:rPr>
                <w:rFonts w:ascii="Arial" w:cs="Arial" w:eastAsia="Arial" w:hAnsi="Arial"/>
                <w:sz w:val="9"/>
                <w:szCs w:val="9"/>
                <w:color w:val="auto"/>
                <w:w w:val="88"/>
              </w:rPr>
              <w:t>— </w:t>
            </w:r>
          </w:p>
        </w:tc>
        <w:tc>
          <w:tcPr>
            <w:tcW w:w="0" w:type="dxa"/>
            <w:vAlign w:val="bottom"/>
          </w:tcPr>
          <w:p>
            <w:pPr>
              <w:spacing w:after="0"/>
              <w:rPr>
                <w:sz w:val="1"/>
                <w:szCs w:val="1"/>
                <w:color w:val="auto"/>
              </w:rPr>
            </w:pPr>
          </w:p>
        </w:tc>
      </w:tr>
      <w:tr>
        <w:trPr>
          <w:trHeight w:val="8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Equity-based</w:t>
            </w:r>
          </w:p>
        </w:tc>
        <w:tc>
          <w:tcPr>
            <w:tcW w:w="2600" w:type="dxa"/>
            <w:vAlign w:val="bottom"/>
            <w:gridSpan w:val="18"/>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tcPr>
          <w:p>
            <w:pPr>
              <w:ind w:left="80"/>
              <w:spacing w:after="0"/>
              <w:rPr>
                <w:sz w:val="20"/>
                <w:szCs w:val="20"/>
                <w:color w:val="auto"/>
              </w:rPr>
            </w:pPr>
            <w:r>
              <w:rPr>
                <w:rFonts w:ascii="Arial" w:cs="Arial" w:eastAsia="Arial" w:hAnsi="Arial"/>
                <w:sz w:val="9"/>
                <w:szCs w:val="9"/>
                <w:color w:val="auto"/>
              </w:rPr>
              <w:t>compensation</w:t>
            </w: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9"/>
                <w:szCs w:val="9"/>
                <w:color w:val="auto"/>
              </w:rPr>
              <w:t>— </w:t>
            </w:r>
          </w:p>
        </w:tc>
        <w:tc>
          <w:tcPr>
            <w:tcW w:w="440" w:type="dxa"/>
            <w:vAlign w:val="bottom"/>
            <w:gridSpan w:val="2"/>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tcPr>
          <w:p>
            <w:pPr>
              <w:spacing w:after="0"/>
              <w:rPr>
                <w:sz w:val="9"/>
                <w:szCs w:val="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tcPr>
          <w:p>
            <w:pPr>
              <w:spacing w:after="0"/>
              <w:rPr>
                <w:sz w:val="9"/>
                <w:szCs w:val="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tcPr>
          <w:p>
            <w:pPr>
              <w:ind w:left="180"/>
              <w:spacing w:after="0"/>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9"/>
                <w:szCs w:val="9"/>
                <w:color w:val="auto"/>
              </w:rPr>
            </w:pPr>
          </w:p>
        </w:tc>
        <w:tc>
          <w:tcPr>
            <w:tcW w:w="42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340" w:type="dxa"/>
            <w:vAlign w:val="bottom"/>
            <w:gridSpan w:val="2"/>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Borders>
              <w:right w:val="single" w:sz="8" w:color="auto"/>
            </w:tcBorders>
          </w:tcPr>
          <w:p>
            <w:pPr>
              <w:ind w:left="20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9"/>
                <w:szCs w:val="9"/>
                <w:color w:val="auto"/>
              </w:rPr>
              <w:t>— </w:t>
            </w:r>
          </w:p>
        </w:tc>
        <w:tc>
          <w:tcPr>
            <w:tcW w:w="80" w:type="dxa"/>
            <w:vAlign w:val="bottom"/>
          </w:tcPr>
          <w:p>
            <w:pPr>
              <w:spacing w:after="0"/>
              <w:rPr>
                <w:sz w:val="9"/>
                <w:szCs w:val="9"/>
                <w:color w:val="auto"/>
              </w:rPr>
            </w:pPr>
          </w:p>
        </w:tc>
        <w:tc>
          <w:tcPr>
            <w:tcW w:w="300" w:type="dxa"/>
            <w:vAlign w:val="bottom"/>
            <w:gridSpan w:val="2"/>
          </w:tcPr>
          <w:p>
            <w:pPr>
              <w:jc w:val="center"/>
              <w:ind w:right="40"/>
              <w:spacing w:after="0"/>
              <w:rPr>
                <w:sz w:val="20"/>
                <w:szCs w:val="20"/>
                <w:color w:val="auto"/>
              </w:rPr>
            </w:pPr>
            <w:r>
              <w:rPr>
                <w:rFonts w:ascii="Arial" w:cs="Arial" w:eastAsia="Arial" w:hAnsi="Arial"/>
                <w:sz w:val="9"/>
                <w:szCs w:val="9"/>
                <w:color w:val="auto"/>
                <w:w w:val="73"/>
              </w:rPr>
              <w:t>— </w:t>
            </w:r>
          </w:p>
        </w:tc>
        <w:tc>
          <w:tcPr>
            <w:tcW w:w="380" w:type="dxa"/>
            <w:vAlign w:val="bottom"/>
            <w:gridSpan w:val="2"/>
          </w:tcPr>
          <w:p>
            <w:pPr>
              <w:ind w:left="220"/>
              <w:spacing w:after="0"/>
              <w:rPr>
                <w:sz w:val="20"/>
                <w:szCs w:val="20"/>
                <w:color w:val="auto"/>
              </w:rPr>
            </w:pPr>
            <w:r>
              <w:rPr>
                <w:rFonts w:ascii="Arial" w:cs="Arial" w:eastAsia="Arial" w:hAnsi="Arial"/>
                <w:sz w:val="9"/>
                <w:szCs w:val="9"/>
                <w:color w:val="auto"/>
              </w:rPr>
              <w:t>— </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ind w:left="60"/>
              <w:spacing w:after="0"/>
              <w:rPr>
                <w:sz w:val="20"/>
                <w:szCs w:val="20"/>
                <w:color w:val="auto"/>
              </w:rPr>
            </w:pPr>
            <w:r>
              <w:rPr>
                <w:rFonts w:ascii="Arial" w:cs="Arial" w:eastAsia="Arial" w:hAnsi="Arial"/>
                <w:sz w:val="9"/>
                <w:szCs w:val="9"/>
                <w:color w:val="auto"/>
                <w:w w:val="73"/>
              </w:rPr>
              <w:t>— </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9"/>
                <w:szCs w:val="9"/>
                <w:color w:val="auto"/>
              </w:rPr>
              <w:t>1,318</w:t>
            </w:r>
          </w:p>
        </w:tc>
        <w:tc>
          <w:tcPr>
            <w:tcW w:w="100" w:type="dxa"/>
            <w:vAlign w:val="bottom"/>
          </w:tcPr>
          <w:p>
            <w:pPr>
              <w:spacing w:after="0"/>
              <w:rPr>
                <w:sz w:val="9"/>
                <w:szCs w:val="9"/>
                <w:color w:val="auto"/>
              </w:rPr>
            </w:pPr>
          </w:p>
        </w:tc>
        <w:tc>
          <w:tcPr>
            <w:tcW w:w="460" w:type="dxa"/>
            <w:vAlign w:val="bottom"/>
            <w:gridSpan w:val="2"/>
          </w:tcPr>
          <w:p>
            <w:pPr>
              <w:jc w:val="center"/>
              <w:ind w:left="217"/>
              <w:spacing w:after="0"/>
              <w:rPr>
                <w:sz w:val="20"/>
                <w:szCs w:val="20"/>
                <w:color w:val="auto"/>
              </w:rPr>
            </w:pPr>
            <w:r>
              <w:rPr>
                <w:rFonts w:ascii="Arial" w:cs="Arial" w:eastAsia="Arial" w:hAnsi="Arial"/>
                <w:sz w:val="9"/>
                <w:szCs w:val="9"/>
                <w:color w:val="auto"/>
                <w:w w:val="88"/>
              </w:rPr>
              <w:t>— </w:t>
            </w:r>
          </w:p>
        </w:tc>
        <w:tc>
          <w:tcPr>
            <w:tcW w:w="0" w:type="dxa"/>
            <w:vAlign w:val="bottom"/>
          </w:tcPr>
          <w:p>
            <w:pPr>
              <w:spacing w:after="0"/>
              <w:rPr>
                <w:sz w:val="1"/>
                <w:szCs w:val="1"/>
                <w:color w:val="auto"/>
              </w:rPr>
            </w:pPr>
          </w:p>
        </w:tc>
      </w:tr>
      <w:tr>
        <w:trPr>
          <w:trHeight w:val="8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Other</w:t>
            </w:r>
          </w:p>
        </w:tc>
        <w:tc>
          <w:tcPr>
            <w:tcW w:w="2600" w:type="dxa"/>
            <w:vAlign w:val="bottom"/>
            <w:gridSpan w:val="18"/>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color w:val="auto"/>
              </w:rPr>
              <w:t>comprehensive</w:t>
            </w:r>
          </w:p>
        </w:tc>
        <w:tc>
          <w:tcPr>
            <w:tcW w:w="2600" w:type="dxa"/>
            <w:vAlign w:val="bottom"/>
            <w:gridSpan w:val="1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color w:val="auto"/>
              </w:rPr>
              <w:t>income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— </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shd w:val="clear" w:color="auto" w:fill="CCEEFF"/>
          </w:tcPr>
          <w:p>
            <w:pPr>
              <w:ind w:left="180"/>
              <w:spacing w:after="0"/>
              <w:rPr>
                <w:sz w:val="20"/>
                <w:szCs w:val="20"/>
                <w:color w:val="auto"/>
              </w:rPr>
            </w:pPr>
            <w:r>
              <w:rPr>
                <w:rFonts w:ascii="Arial" w:cs="Arial" w:eastAsia="Arial" w:hAnsi="Arial"/>
                <w:sz w:val="9"/>
                <w:szCs w:val="9"/>
                <w:color w:val="auto"/>
                <w:w w:val="88"/>
              </w:rPr>
              <w:t>— </w:t>
            </w: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shd w:val="clear" w:color="auto" w:fill="CCEEFF"/>
          </w:tcPr>
          <w:p>
            <w:pPr>
              <w:ind w:left="80"/>
              <w:spacing w:after="0"/>
              <w:rPr>
                <w:sz w:val="20"/>
                <w:szCs w:val="20"/>
                <w:color w:val="auto"/>
              </w:rPr>
            </w:pPr>
            <w:r>
              <w:rPr>
                <w:rFonts w:ascii="Arial" w:cs="Arial" w:eastAsia="Arial" w:hAnsi="Arial"/>
                <w:sz w:val="9"/>
                <w:szCs w:val="9"/>
                <w:color w:val="auto"/>
                <w:w w:val="88"/>
              </w:rPr>
              <w:t>— </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9"/>
                <w:szCs w:val="9"/>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tcBorders>
              <w:right w:val="single" w:sz="8" w:color="auto"/>
            </w:tcBorders>
            <w:shd w:val="clear" w:color="auto" w:fill="CCEEFF"/>
          </w:tcPr>
          <w:p>
            <w:pPr>
              <w:ind w:left="20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w w:val="73"/>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9"/>
                <w:szCs w:val="9"/>
                <w:color w:val="auto"/>
              </w:rPr>
              <w:t>— </w:t>
            </w: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w w:val="73"/>
              </w:rPr>
              <w:t>— </w:t>
            </w: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center"/>
              <w:ind w:left="217"/>
              <w:spacing w:after="0"/>
              <w:rPr>
                <w:sz w:val="20"/>
                <w:szCs w:val="20"/>
                <w:color w:val="auto"/>
              </w:rPr>
            </w:pPr>
            <w:r>
              <w:rPr>
                <w:rFonts w:ascii="Arial" w:cs="Arial" w:eastAsia="Arial" w:hAnsi="Arial"/>
                <w:sz w:val="9"/>
                <w:szCs w:val="9"/>
                <w:color w:val="auto"/>
                <w:w w:val="94"/>
              </w:rPr>
              <w:t>(614)</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line="98" w:lineRule="exact"/>
              <w:rPr>
                <w:sz w:val="20"/>
                <w:szCs w:val="20"/>
                <w:color w:val="auto"/>
              </w:rPr>
            </w:pPr>
            <w:r>
              <w:rPr>
                <w:rFonts w:ascii="Arial" w:cs="Arial" w:eastAsia="Arial" w:hAnsi="Arial"/>
                <w:sz w:val="9"/>
                <w:szCs w:val="9"/>
                <w:color w:val="auto"/>
              </w:rPr>
              <w:t>Net loss</w:t>
            </w:r>
          </w:p>
        </w:tc>
        <w:tc>
          <w:tcPr>
            <w:tcW w:w="40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 xml:space="preserve">— </w:t>
            </w:r>
          </w:p>
        </w:tc>
        <w:tc>
          <w:tcPr>
            <w:tcW w:w="44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60" w:type="dxa"/>
            <w:vAlign w:val="bottom"/>
          </w:tcPr>
          <w:p>
            <w:pPr>
              <w:spacing w:after="0"/>
              <w:rPr>
                <w:sz w:val="8"/>
                <w:szCs w:val="8"/>
                <w:color w:val="auto"/>
              </w:rPr>
            </w:pPr>
          </w:p>
        </w:tc>
        <w:tc>
          <w:tcPr>
            <w:tcW w:w="44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6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320" w:type="dxa"/>
            <w:vAlign w:val="bottom"/>
          </w:tcPr>
          <w:p>
            <w:pPr>
              <w:ind w:left="180"/>
              <w:spacing w:after="0" w:line="98" w:lineRule="exact"/>
              <w:rPr>
                <w:sz w:val="20"/>
                <w:szCs w:val="20"/>
                <w:color w:val="auto"/>
              </w:rPr>
            </w:pPr>
            <w:r>
              <w:rPr>
                <w:rFonts w:ascii="Arial" w:cs="Arial" w:eastAsia="Arial" w:hAnsi="Arial"/>
                <w:sz w:val="9"/>
                <w:szCs w:val="9"/>
                <w:color w:val="auto"/>
              </w:rPr>
              <w:t xml:space="preserve">— </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ind w:left="80"/>
              <w:spacing w:after="0" w:line="98" w:lineRule="exact"/>
              <w:rPr>
                <w:sz w:val="20"/>
                <w:szCs w:val="20"/>
                <w:color w:val="auto"/>
              </w:rPr>
            </w:pPr>
            <w:r>
              <w:rPr>
                <w:rFonts w:ascii="Arial" w:cs="Arial" w:eastAsia="Arial" w:hAnsi="Arial"/>
                <w:sz w:val="9"/>
                <w:szCs w:val="9"/>
                <w:color w:val="auto"/>
                <w:w w:val="88"/>
              </w:rPr>
              <w:t>— </w:t>
            </w:r>
          </w:p>
        </w:tc>
        <w:tc>
          <w:tcPr>
            <w:tcW w:w="60" w:type="dxa"/>
            <w:vAlign w:val="bottom"/>
          </w:tcPr>
          <w:p>
            <w:pPr>
              <w:spacing w:after="0"/>
              <w:rPr>
                <w:sz w:val="8"/>
                <w:szCs w:val="8"/>
                <w:color w:val="auto"/>
              </w:rPr>
            </w:pPr>
          </w:p>
        </w:tc>
        <w:tc>
          <w:tcPr>
            <w:tcW w:w="42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340" w:type="dxa"/>
            <w:vAlign w:val="bottom"/>
            <w:gridSpan w:val="2"/>
          </w:tcPr>
          <w:p>
            <w:pPr>
              <w:ind w:left="140"/>
              <w:spacing w:after="0" w:line="98" w:lineRule="exact"/>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ind w:left="200"/>
              <w:spacing w:after="0" w:line="98" w:lineRule="exact"/>
              <w:rPr>
                <w:sz w:val="20"/>
                <w:szCs w:val="20"/>
                <w:color w:val="auto"/>
              </w:rPr>
            </w:pPr>
            <w:r>
              <w:rPr>
                <w:rFonts w:ascii="Arial" w:cs="Arial" w:eastAsia="Arial" w:hAnsi="Arial"/>
                <w:sz w:val="9"/>
                <w:szCs w:val="9"/>
                <w:color w:val="auto"/>
              </w:rPr>
              <w:t>— 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right w:val="single" w:sz="8" w:color="auto"/>
            </w:tcBorders>
          </w:tcPr>
          <w:p>
            <w:pPr>
              <w:ind w:left="20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46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— </w:t>
            </w:r>
          </w:p>
        </w:tc>
        <w:tc>
          <w:tcPr>
            <w:tcW w:w="80" w:type="dxa"/>
            <w:vAlign w:val="bottom"/>
          </w:tcPr>
          <w:p>
            <w:pPr>
              <w:spacing w:after="0"/>
              <w:rPr>
                <w:sz w:val="8"/>
                <w:szCs w:val="8"/>
                <w:color w:val="auto"/>
              </w:rPr>
            </w:pPr>
          </w:p>
        </w:tc>
        <w:tc>
          <w:tcPr>
            <w:tcW w:w="300" w:type="dxa"/>
            <w:vAlign w:val="bottom"/>
            <w:gridSpan w:val="2"/>
          </w:tcPr>
          <w:p>
            <w:pPr>
              <w:jc w:val="center"/>
              <w:ind w:right="40"/>
              <w:spacing w:after="0" w:line="98" w:lineRule="exact"/>
              <w:rPr>
                <w:sz w:val="20"/>
                <w:szCs w:val="20"/>
                <w:color w:val="auto"/>
              </w:rPr>
            </w:pPr>
            <w:r>
              <w:rPr>
                <w:rFonts w:ascii="Arial" w:cs="Arial" w:eastAsia="Arial" w:hAnsi="Arial"/>
                <w:sz w:val="9"/>
                <w:szCs w:val="9"/>
                <w:color w:val="auto"/>
              </w:rPr>
              <w:t xml:space="preserve">— </w:t>
            </w:r>
          </w:p>
        </w:tc>
        <w:tc>
          <w:tcPr>
            <w:tcW w:w="380" w:type="dxa"/>
            <w:vAlign w:val="bottom"/>
            <w:gridSpan w:val="2"/>
          </w:tcPr>
          <w:p>
            <w:pPr>
              <w:ind w:left="220"/>
              <w:spacing w:after="0" w:line="98" w:lineRule="exact"/>
              <w:rPr>
                <w:sz w:val="20"/>
                <w:szCs w:val="20"/>
                <w:color w:val="auto"/>
              </w:rPr>
            </w:pPr>
            <w:r>
              <w:rPr>
                <w:rFonts w:ascii="Arial" w:cs="Arial" w:eastAsia="Arial" w:hAnsi="Arial"/>
                <w:sz w:val="9"/>
                <w:szCs w:val="9"/>
                <w:color w:val="auto"/>
              </w:rPr>
              <w:t>— </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ind w:left="60"/>
              <w:spacing w:after="0" w:line="98" w:lineRule="exact"/>
              <w:rPr>
                <w:sz w:val="20"/>
                <w:szCs w:val="20"/>
                <w:color w:val="auto"/>
              </w:rPr>
            </w:pPr>
            <w:r>
              <w:rPr>
                <w:rFonts w:ascii="Arial" w:cs="Arial" w:eastAsia="Arial" w:hAnsi="Arial"/>
                <w:sz w:val="9"/>
                <w:szCs w:val="9"/>
                <w:color w:val="auto"/>
                <w:w w:val="73"/>
              </w:rPr>
              <w:t>— </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2"/>
          </w:tcPr>
          <w:p>
            <w:pPr>
              <w:jc w:val="right"/>
              <w:ind w:right="80"/>
              <w:spacing w:after="0" w:line="98" w:lineRule="exact"/>
              <w:rPr>
                <w:sz w:val="20"/>
                <w:szCs w:val="20"/>
                <w:color w:val="auto"/>
              </w:rPr>
            </w:pPr>
            <w:r>
              <w:rPr>
                <w:rFonts w:ascii="Arial" w:cs="Arial" w:eastAsia="Arial" w:hAnsi="Arial"/>
                <w:sz w:val="9"/>
                <w:szCs w:val="9"/>
                <w:color w:val="auto"/>
              </w:rPr>
              <w:t>— </w:t>
            </w:r>
          </w:p>
        </w:tc>
        <w:tc>
          <w:tcPr>
            <w:tcW w:w="100" w:type="dxa"/>
            <w:vAlign w:val="bottom"/>
          </w:tcPr>
          <w:p>
            <w:pPr>
              <w:spacing w:after="0"/>
              <w:rPr>
                <w:sz w:val="8"/>
                <w:szCs w:val="8"/>
                <w:color w:val="auto"/>
              </w:rPr>
            </w:pPr>
          </w:p>
        </w:tc>
        <w:tc>
          <w:tcPr>
            <w:tcW w:w="460" w:type="dxa"/>
            <w:vAlign w:val="bottom"/>
            <w:gridSpan w:val="2"/>
          </w:tcPr>
          <w:p>
            <w:pPr>
              <w:jc w:val="center"/>
              <w:ind w:left="217"/>
              <w:spacing w:after="0" w:line="98" w:lineRule="exact"/>
              <w:rPr>
                <w:sz w:val="20"/>
                <w:szCs w:val="20"/>
                <w:color w:val="auto"/>
              </w:rPr>
            </w:pPr>
            <w:r>
              <w:rPr>
                <w:rFonts w:ascii="Arial" w:cs="Arial" w:eastAsia="Arial" w:hAnsi="Arial"/>
                <w:sz w:val="9"/>
                <w:szCs w:val="9"/>
                <w:color w:val="auto"/>
                <w:w w:val="88"/>
              </w:rPr>
              <w:t>— </w:t>
            </w:r>
          </w:p>
        </w:tc>
        <w:tc>
          <w:tcPr>
            <w:tcW w:w="0" w:type="dxa"/>
            <w:vAlign w:val="bottom"/>
          </w:tcPr>
          <w:p>
            <w:pPr>
              <w:spacing w:after="0"/>
              <w:rPr>
                <w:sz w:val="1"/>
                <w:szCs w:val="1"/>
                <w:color w:val="auto"/>
              </w:rPr>
            </w:pPr>
          </w:p>
        </w:tc>
      </w:tr>
      <w:tr>
        <w:trPr>
          <w:trHeight w:val="87"/>
        </w:trPr>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Balance at</w:t>
            </w: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gridSpan w:val="2"/>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420" w:type="dxa"/>
            <w:vAlign w:val="bottom"/>
            <w:tcBorders>
              <w:top w:val="single" w:sz="8" w:color="auto"/>
              <w:right w:val="single" w:sz="8" w:color="auto"/>
            </w:tcBorders>
            <w:gridSpan w:val="2"/>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80" w:type="dxa"/>
            <w:vAlign w:val="bottom"/>
            <w:tcBorders>
              <w:top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28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gridSpan w:val="2"/>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tcBorders>
              <w:top w:val="single" w:sz="8" w:color="auto"/>
            </w:tcBorders>
            <w:gridSpan w:val="2"/>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7540" w:type="dxa"/>
            <w:vAlign w:val="bottom"/>
            <w:tcBorders>
              <w:right w:val="single" w:sz="8" w:color="auto"/>
            </w:tcBorders>
            <w:gridSpan w:val="45"/>
          </w:tcPr>
          <w:p>
            <w:pPr>
              <w:spacing w:after="0"/>
              <w:rPr>
                <w:sz w:val="20"/>
                <w:szCs w:val="20"/>
                <w:color w:val="auto"/>
              </w:rPr>
            </w:pPr>
            <w:r>
              <w:rPr>
                <w:rFonts w:ascii="Arial" w:cs="Arial" w:eastAsia="Arial" w:hAnsi="Arial"/>
                <w:sz w:val="9"/>
                <w:szCs w:val="9"/>
                <w:b w:val="1"/>
                <w:bCs w:val="1"/>
                <w:color w:val="auto"/>
              </w:rPr>
              <w:t>March 31,</w:t>
            </w:r>
          </w:p>
        </w:tc>
        <w:tc>
          <w:tcPr>
            <w:tcW w:w="2600" w:type="dxa"/>
            <w:vAlign w:val="bottom"/>
            <w:gridSpan w:val="18"/>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shd w:val="clear" w:color="auto" w:fill="CCEEFF"/>
          </w:tcPr>
          <w:p>
            <w:pPr>
              <w:ind w:left="80"/>
              <w:spacing w:after="0"/>
              <w:rPr>
                <w:sz w:val="20"/>
                <w:szCs w:val="20"/>
                <w:color w:val="auto"/>
              </w:rPr>
            </w:pPr>
            <w:r>
              <w:rPr>
                <w:rFonts w:ascii="Arial" w:cs="Arial" w:eastAsia="Arial" w:hAnsi="Arial"/>
                <w:sz w:val="9"/>
                <w:szCs w:val="9"/>
                <w:b w:val="1"/>
                <w:bCs w:val="1"/>
                <w:color w:val="auto"/>
              </w:rPr>
              <w:t>2026</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9"/>
                <w:szCs w:val="9"/>
                <w:color w:val="auto"/>
              </w:rPr>
              <w:t xml:space="preserve">— </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— </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320" w:type="dxa"/>
            <w:vAlign w:val="bottom"/>
            <w:shd w:val="clear" w:color="auto" w:fill="CCEEFF"/>
          </w:tcPr>
          <w:p>
            <w:pPr>
              <w:ind w:left="40"/>
              <w:spacing w:after="0"/>
              <w:rPr>
                <w:sz w:val="20"/>
                <w:szCs w:val="20"/>
                <w:color w:val="auto"/>
              </w:rPr>
            </w:pPr>
            <w:r>
              <w:rPr>
                <w:rFonts w:ascii="Arial" w:cs="Arial" w:eastAsia="Arial" w:hAnsi="Arial"/>
                <w:sz w:val="9"/>
                <w:szCs w:val="9"/>
                <w:color w:val="auto"/>
                <w:w w:val="94"/>
              </w:rPr>
              <w:t>23,343</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9"/>
                <w:szCs w:val="9"/>
                <w:color w:val="auto"/>
                <w:w w:val="78"/>
              </w:rPr>
              <w:t>$</w:t>
            </w:r>
          </w:p>
        </w:tc>
        <w:tc>
          <w:tcPr>
            <w:tcW w:w="220" w:type="dxa"/>
            <w:vAlign w:val="bottom"/>
            <w:shd w:val="clear" w:color="auto" w:fill="CCEEFF"/>
          </w:tcPr>
          <w:p>
            <w:pPr>
              <w:spacing w:after="0"/>
              <w:rPr>
                <w:sz w:val="20"/>
                <w:szCs w:val="20"/>
                <w:color w:val="auto"/>
              </w:rPr>
            </w:pPr>
            <w:r>
              <w:rPr>
                <w:rFonts w:ascii="Arial" w:cs="Arial" w:eastAsia="Arial" w:hAnsi="Arial"/>
                <w:sz w:val="9"/>
                <w:szCs w:val="9"/>
                <w:color w:val="auto"/>
                <w:w w:val="88"/>
              </w:rPr>
              <w:t>5,236</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9"/>
                <w:szCs w:val="9"/>
                <w:color w:val="auto"/>
              </w:rPr>
              <w:t>225,866</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u w:val="single" w:color="auto"/>
                <w:color w:val="auto"/>
                <w:w w:val="70"/>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63,536</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8"/>
              </w:rPr>
              <w:t>442,205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u w:val="single" w:color="auto"/>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9"/>
                <w:szCs w:val="9"/>
                <w:color w:val="auto"/>
              </w:rPr>
              <w:t>134,975</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9"/>
                <w:szCs w:val="9"/>
                <w:color w:val="auto"/>
                <w:w w:val="98"/>
              </w:rPr>
              <w:t>512,991</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9"/>
                <w:szCs w:val="9"/>
                <w:u w:val="single" w:color="auto"/>
                <w:color w:val="auto"/>
              </w:rPr>
              <w:t>$</w:t>
            </w:r>
          </w:p>
        </w:tc>
        <w:tc>
          <w:tcPr>
            <w:tcW w:w="3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98"/>
              </w:rPr>
              <w:t>156,421</w:t>
            </w:r>
          </w:p>
        </w:tc>
        <w:tc>
          <w:tcPr>
            <w:tcW w:w="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300" w:type="dxa"/>
            <w:vAlign w:val="bottom"/>
            <w:gridSpan w:val="2"/>
            <w:shd w:val="clear" w:color="auto" w:fill="CCEEFF"/>
          </w:tcPr>
          <w:p>
            <w:pPr>
              <w:jc w:val="center"/>
              <w:ind w:right="40"/>
              <w:spacing w:after="0"/>
              <w:rPr>
                <w:sz w:val="20"/>
                <w:szCs w:val="20"/>
                <w:color w:val="auto"/>
              </w:rPr>
            </w:pPr>
            <w:r>
              <w:rPr>
                <w:rFonts w:ascii="Arial" w:cs="Arial" w:eastAsia="Arial" w:hAnsi="Arial"/>
                <w:sz w:val="9"/>
                <w:szCs w:val="9"/>
                <w:color w:val="auto"/>
              </w:rPr>
              <w:t xml:space="preserve">— </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946,000</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9"/>
                <w:szCs w:val="9"/>
                <w:color w:val="auto"/>
              </w:rPr>
              <w:t xml:space="preserve">— </w:t>
            </w:r>
          </w:p>
        </w:tc>
        <w:tc>
          <w:tcPr>
            <w:tcW w:w="120" w:type="dxa"/>
            <w:vAlign w:val="bottom"/>
            <w:gridSpan w:val="2"/>
            <w:shd w:val="clear" w:color="auto" w:fill="CCEEFF"/>
          </w:tcPr>
          <w:p>
            <w:pPr>
              <w:ind w:left="80"/>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6,366</w:t>
            </w:r>
          </w:p>
        </w:tc>
        <w:tc>
          <w:tcPr>
            <w:tcW w:w="100" w:type="dxa"/>
            <w:vAlign w:val="bottom"/>
            <w:shd w:val="clear" w:color="auto" w:fill="CCEEFF"/>
          </w:tcPr>
          <w:p>
            <w:pPr>
              <w:spacing w:after="0"/>
              <w:rPr>
                <w:sz w:val="20"/>
                <w:szCs w:val="20"/>
                <w:color w:val="auto"/>
              </w:rPr>
            </w:pPr>
            <w:r>
              <w:rPr>
                <w:rFonts w:ascii="Arial" w:cs="Arial" w:eastAsia="Arial" w:hAnsi="Arial"/>
                <w:sz w:val="9"/>
                <w:szCs w:val="9"/>
                <w:color w:val="auto"/>
              </w:rPr>
              <w:t>$</w:t>
            </w:r>
          </w:p>
        </w:tc>
        <w:tc>
          <w:tcPr>
            <w:tcW w:w="460" w:type="dxa"/>
            <w:vAlign w:val="bottom"/>
            <w:gridSpan w:val="2"/>
            <w:shd w:val="clear" w:color="auto" w:fill="CCEEFF"/>
          </w:tcPr>
          <w:p>
            <w:pPr>
              <w:jc w:val="center"/>
              <w:ind w:left="217"/>
              <w:spacing w:after="0"/>
              <w:rPr>
                <w:sz w:val="20"/>
                <w:szCs w:val="20"/>
                <w:color w:val="auto"/>
              </w:rPr>
            </w:pPr>
            <w:r>
              <w:rPr>
                <w:rFonts w:ascii="Arial" w:cs="Arial" w:eastAsia="Arial" w:hAnsi="Arial"/>
                <w:sz w:val="9"/>
                <w:szCs w:val="9"/>
                <w:color w:val="auto"/>
                <w:w w:val="94"/>
              </w:rPr>
              <w:t>(439)</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8"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60"/>
          </w:cols>
          <w:pgMar w:left="300" w:top="415"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HEMAB THERAPEUTICS HOLDINGS, INC.</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(in thousands)</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(unaudited)</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40" w:type="dxa"/>
            <w:vAlign w:val="bottom"/>
            <w:gridSpan w:val="7"/>
          </w:tcPr>
          <w:p>
            <w:pPr>
              <w:ind w:left="20"/>
              <w:spacing w:after="0"/>
              <w:rPr>
                <w:sz w:val="20"/>
                <w:szCs w:val="20"/>
                <w:color w:val="auto"/>
              </w:rPr>
            </w:pPr>
            <w:r>
              <w:rPr>
                <w:rFonts w:ascii="Arial" w:cs="Arial" w:eastAsia="Arial" w:hAnsi="Arial"/>
                <w:sz w:val="12"/>
                <w:szCs w:val="12"/>
                <w:b w:val="1"/>
                <w:bCs w:val="1"/>
                <w:color w:val="auto"/>
              </w:rPr>
              <w:t>Three Months Ended 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4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8"/>
              <w:spacing w:after="0" w:line="121" w:lineRule="exact"/>
              <w:rPr>
                <w:sz w:val="20"/>
                <w:szCs w:val="20"/>
                <w:color w:val="auto"/>
              </w:rPr>
            </w:pPr>
            <w:r>
              <w:rPr>
                <w:rFonts w:ascii="Arial" w:cs="Arial" w:eastAsia="Arial" w:hAnsi="Arial"/>
                <w:sz w:val="12"/>
                <w:szCs w:val="12"/>
                <w:b w:val="1"/>
                <w:bCs w:val="1"/>
                <w:color w:val="auto"/>
              </w:rPr>
              <w:t>2026</w:t>
            </w: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88"/>
              <w:spacing w:after="0" w:line="121" w:lineRule="exact"/>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Net loss</w:t>
            </w:r>
          </w:p>
        </w:tc>
        <w:tc>
          <w:tcPr>
            <w:tcW w:w="120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(22,687)</w:t>
            </w:r>
          </w:p>
        </w:tc>
        <w:tc>
          <w:tcPr>
            <w:tcW w:w="2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Equity-based compensation</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1,318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Non-cash lease expense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discount on available-for-sale debt securities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Other non-cash items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1,166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liabilities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6"/>
        </w:trPr>
        <w:tc>
          <w:tcPr>
            <w:tcW w:w="5960" w:type="dxa"/>
            <w:vAlign w:val="bottom"/>
            <w:gridSpan w:val="2"/>
          </w:tcPr>
          <w:p>
            <w:pPr>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(21,584)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Purchases of available-for-sale debt securities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(15,735)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(19,948)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Maturities of available-for-sale debt securities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(15,847)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(5,994)</w:t>
            </w:r>
          </w:p>
        </w:tc>
        <w:tc>
          <w:tcPr>
            <w:tcW w:w="0" w:type="dxa"/>
            <w:vAlign w:val="bottom"/>
          </w:tcPr>
          <w:p>
            <w:pPr>
              <w:spacing w:after="0"/>
              <w:rPr>
                <w:sz w:val="1"/>
                <w:szCs w:val="1"/>
                <w:color w:val="auto"/>
              </w:rPr>
            </w:pPr>
          </w:p>
        </w:tc>
      </w:tr>
      <w:tr>
        <w:trPr>
          <w:trHeight w:val="164"/>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offering costs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280"/>
              <w:spacing w:after="0"/>
              <w:rPr>
                <w:sz w:val="20"/>
                <w:szCs w:val="20"/>
                <w:color w:val="auto"/>
              </w:rPr>
            </w:pPr>
            <w:r>
              <w:rPr>
                <w:rFonts w:ascii="Arial" w:cs="Arial" w:eastAsia="Arial" w:hAnsi="Arial"/>
                <w:sz w:val="14"/>
                <w:szCs w:val="14"/>
                <w:color w:val="auto"/>
              </w:rPr>
              <w:t>Principal payments on finance lease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financing activities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5960" w:type="dxa"/>
            <w:vAlign w:val="bottom"/>
            <w:gridSpan w:val="2"/>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0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cash and cash equivalents</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(38,114)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87,974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74,407</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end of period</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49,860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activities:</w:t>
            </w: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9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Cash paid for interest</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Deferred offering costs included in accrued expenses and accounts payable</w:t>
            </w:r>
          </w:p>
        </w:tc>
        <w:tc>
          <w:tcPr>
            <w:tcW w:w="120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2,279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1120"/>
        <w:spacing w:after="0"/>
        <w:rPr>
          <w:sz w:val="20"/>
          <w:szCs w:val="20"/>
          <w:color w:val="auto"/>
        </w:rPr>
      </w:pPr>
      <w:r>
        <w:rPr>
          <w:rFonts w:ascii="Arial" w:cs="Arial" w:eastAsia="Arial" w:hAnsi="Arial"/>
          <w:sz w:val="14"/>
          <w:szCs w:val="14"/>
          <w:i w:val="1"/>
          <w:iCs w:val="1"/>
          <w:color w:val="auto"/>
        </w:rPr>
        <w:t>See accompanying notes to the financial statements.</w:t>
      </w:r>
    </w:p>
    <w:p>
      <w:pPr>
        <w:spacing w:after="0" w:line="118"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159"/>
          </w:cols>
          <w:pgMar w:left="300" w:top="415"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HEMAB THERAPEUTICS HOLDINGS, INC.</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1"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(unaudited)</w:t>
      </w:r>
    </w:p>
    <w:p>
      <w:pPr>
        <w:spacing w:after="0" w:line="160" w:lineRule="exact"/>
        <w:rPr>
          <w:sz w:val="20"/>
          <w:szCs w:val="20"/>
          <w:color w:val="auto"/>
        </w:rPr>
      </w:pPr>
    </w:p>
    <w:p>
      <w:pPr>
        <w:ind w:left="1220" w:right="6179" w:firstLine="9"/>
        <w:spacing w:after="0" w:line="371" w:lineRule="auto"/>
        <w:tabs>
          <w:tab w:leader="none" w:pos="1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Description of Business and Liquidity </w:t>
      </w:r>
      <w:r>
        <w:rPr>
          <w:rFonts w:ascii="Arial" w:cs="Arial" w:eastAsia="Arial" w:hAnsi="Arial"/>
          <w:sz w:val="14"/>
          <w:szCs w:val="14"/>
          <w:b w:val="1"/>
          <w:bCs w:val="1"/>
          <w:i w:val="1"/>
          <w:iCs w:val="1"/>
          <w:color w:val="auto"/>
        </w:rPr>
        <w:t>Nature of Business</w:t>
      </w:r>
    </w:p>
    <w:p>
      <w:pPr>
        <w:ind w:left="1220" w:right="219" w:firstLine="353"/>
        <w:spacing w:after="0" w:line="251" w:lineRule="auto"/>
        <w:rPr>
          <w:sz w:val="20"/>
          <w:szCs w:val="20"/>
          <w:color w:val="auto"/>
        </w:rPr>
      </w:pPr>
      <w:r>
        <w:rPr>
          <w:rFonts w:ascii="Arial" w:cs="Arial" w:eastAsia="Arial" w:hAnsi="Arial"/>
          <w:sz w:val="14"/>
          <w:szCs w:val="14"/>
          <w:color w:val="auto"/>
        </w:rPr>
        <w:t>Hemab Therapeutics Holdings, Inc. (the “Company”) is a clinical-stage biotechnology company developing therapies that reimagine the treatment of blood coagulation disorders to sustain life and human resilience. Based in Denmark and the United States, the Company’s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w:t>
      </w:r>
    </w:p>
    <w:p>
      <w:pPr>
        <w:spacing w:after="0" w:line="305" w:lineRule="exact"/>
        <w:rPr>
          <w:sz w:val="20"/>
          <w:szCs w:val="20"/>
          <w:color w:val="auto"/>
        </w:rPr>
      </w:pPr>
    </w:p>
    <w:p>
      <w:pPr>
        <w:ind w:left="1220" w:right="159" w:firstLine="353"/>
        <w:spacing w:after="0" w:line="253" w:lineRule="auto"/>
        <w:rPr>
          <w:sz w:val="20"/>
          <w:szCs w:val="20"/>
          <w:color w:val="auto"/>
        </w:rPr>
      </w:pPr>
      <w:r>
        <w:rPr>
          <w:rFonts w:ascii="Arial" w:cs="Arial" w:eastAsia="Arial" w:hAnsi="Arial"/>
          <w:sz w:val="14"/>
          <w:szCs w:val="14"/>
          <w:color w:val="auto"/>
        </w:rPr>
        <w:t>The Company’s lead asset, sutacimig (HMB-001), is a bispecific antibody currently in Phase 1/2 clinical development for the prophylactic treatment of Glanzmann thrombasthenia and Phase 2 clinical development for the prophylactic treatment of Factor VII deficiency. The Company’s second clinical-stage asset, HMB-002, is a monovalent antibody in Phase 1/2 clinical development for the subcutaneous prophylactic treatment of Von Willebrand Disease. The Company is also advancing multiple preclinical and discovery-stage assets.</w:t>
      </w:r>
    </w:p>
    <w:p>
      <w:pPr>
        <w:spacing w:after="0" w:line="39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Corporate Reorganization</w:t>
      </w:r>
    </w:p>
    <w:p>
      <w:pPr>
        <w:spacing w:after="0" w:line="86"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On March 30, 2026, the Company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had substantially identical rights to the exchanged shares of Hemab ApS. As a result of the exchange, Hemab Therapeutics Holdings, Inc. became the sole shareholder of Hemab ApS, and the prior shareholders of Hemab ApS solely held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p>
    <w:p>
      <w:pPr>
        <w:spacing w:after="0" w:line="143" w:lineRule="exact"/>
        <w:rPr>
          <w:sz w:val="20"/>
          <w:szCs w:val="20"/>
          <w:color w:val="auto"/>
        </w:rPr>
      </w:pPr>
    </w:p>
    <w:p>
      <w:pPr>
        <w:ind w:left="1220" w:right="139" w:firstLine="353"/>
        <w:spacing w:after="0" w:line="258" w:lineRule="auto"/>
        <w:rPr>
          <w:sz w:val="20"/>
          <w:szCs w:val="20"/>
          <w:color w:val="auto"/>
        </w:rPr>
      </w:pPr>
      <w:r>
        <w:rPr>
          <w:rFonts w:ascii="Arial" w:cs="Arial" w:eastAsia="Arial" w:hAnsi="Arial"/>
          <w:sz w:val="14"/>
          <w:szCs w:val="14"/>
          <w:color w:val="auto"/>
        </w:rPr>
        <w:t>In connection with the corporate reorganization, the original issue price for the Company’s Series Seed Convertible Stock and Series A Convertible Stock were converted from Euros and Danish Kroners (“DKK”), respectively, into U.S. dollars.The original issue price was set for each series of convertible preferred stock so the convertible preferred stock would be convertible into common stock on a one-for-one basis.</w:t>
      </w:r>
    </w:p>
    <w:p>
      <w:pPr>
        <w:spacing w:after="0" w:line="303"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had and was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were outstanding following such assumption and conversion.</w:t>
      </w:r>
    </w:p>
    <w:p>
      <w:pPr>
        <w:spacing w:after="0" w:line="140" w:lineRule="exact"/>
        <w:rPr>
          <w:sz w:val="20"/>
          <w:szCs w:val="20"/>
          <w:color w:val="auto"/>
        </w:rPr>
      </w:pPr>
    </w:p>
    <w:p>
      <w:pPr>
        <w:ind w:left="1220" w:right="399" w:firstLine="353"/>
        <w:spacing w:after="0" w:line="263" w:lineRule="auto"/>
        <w:rPr>
          <w:sz w:val="20"/>
          <w:szCs w:val="20"/>
          <w:color w:val="auto"/>
        </w:rPr>
      </w:pPr>
      <w:r>
        <w:rPr>
          <w:rFonts w:ascii="Arial" w:cs="Arial" w:eastAsia="Arial" w:hAnsi="Arial"/>
          <w:sz w:val="14"/>
          <w:szCs w:val="14"/>
          <w:color w:val="auto"/>
        </w:rPr>
        <w:t>Additionally, on April 1, 2026, Hemab ApS transferred its shares of Hemab Therapeutics Inc., a Delaware corporation and wholly owned subsidiary of Hemab ApS, to Hemab Therapeutics Holdings, Inc. in exchange for the issuance of a promissory note and, as a result, Hemab Therapeutics Inc. became a wholly owned subsidiary of Hemab Therapeutics Holdings, Inc.</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86"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w:t>
      </w:r>
    </w:p>
    <w:p>
      <w:pPr>
        <w:spacing w:after="0" w:line="135" w:lineRule="exact"/>
        <w:rPr>
          <w:sz w:val="20"/>
          <w:szCs w:val="20"/>
          <w:color w:val="auto"/>
        </w:rPr>
      </w:pPr>
    </w:p>
    <w:p>
      <w:pPr>
        <w:ind w:left="1220" w:right="179" w:firstLine="353"/>
        <w:spacing w:after="0" w:line="249" w:lineRule="auto"/>
        <w:rPr>
          <w:sz w:val="20"/>
          <w:szCs w:val="20"/>
          <w:color w:val="auto"/>
        </w:rPr>
      </w:pPr>
      <w:r>
        <w:rPr>
          <w:rFonts w:ascii="Arial" w:cs="Arial" w:eastAsia="Arial" w:hAnsi="Arial"/>
          <w:sz w:val="14"/>
          <w:szCs w:val="14"/>
          <w:color w:val="auto"/>
        </w:rPr>
        <w:t>The Company’s product candidates and programs are in preclinical and clinical development. There can be no assurance that the Company’s research and development efforts will be successfully completed, that adequate protection for its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159"/>
          </w:cols>
          <w:pgMar w:left="300" w:top="415"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Split</w:t>
      </w:r>
    </w:p>
    <w:p>
      <w:pPr>
        <w:spacing w:after="0" w:line="86" w:lineRule="exact"/>
        <w:rPr>
          <w:sz w:val="20"/>
          <w:szCs w:val="20"/>
          <w:color w:val="auto"/>
        </w:rPr>
      </w:pPr>
    </w:p>
    <w:p>
      <w:pPr>
        <w:ind w:left="1220" w:right="199" w:firstLine="353"/>
        <w:spacing w:after="0" w:line="252" w:lineRule="auto"/>
        <w:rPr>
          <w:sz w:val="20"/>
          <w:szCs w:val="20"/>
          <w:color w:val="auto"/>
        </w:rPr>
      </w:pPr>
      <w:r>
        <w:rPr>
          <w:rFonts w:ascii="Arial" w:cs="Arial" w:eastAsia="Arial" w:hAnsi="Arial"/>
          <w:sz w:val="14"/>
          <w:szCs w:val="14"/>
          <w:color w:val="auto"/>
        </w:rPr>
        <w:t>The Company’s board of directors and stockholders approved a 22-for-one forward stock split of the Company’s issued and outstanding common stock and a proportional adjustment to the existing conversion ratios for the outstanding shares of convertible preferred stock, which became effective on April 24, 2026. Accordingly, all share and per share amounts for all periods presented in the accompanying condensed consolidated financial statements and the notes thereto have been retroactively adjusted, where applicable, to reflect the stock split.</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Liquidity and Managements Plan</w:t>
      </w:r>
    </w:p>
    <w:p>
      <w:pPr>
        <w:spacing w:after="0" w:line="86" w:lineRule="exact"/>
        <w:rPr>
          <w:sz w:val="20"/>
          <w:szCs w:val="20"/>
          <w:color w:val="auto"/>
        </w:rPr>
      </w:pPr>
    </w:p>
    <w:p>
      <w:pPr>
        <w:ind w:left="1220" w:right="279" w:firstLine="353"/>
        <w:spacing w:after="0" w:line="256" w:lineRule="auto"/>
        <w:rPr>
          <w:sz w:val="20"/>
          <w:szCs w:val="20"/>
          <w:color w:val="auto"/>
        </w:rPr>
      </w:pPr>
      <w:r>
        <w:rPr>
          <w:rFonts w:ascii="Arial" w:cs="Arial" w:eastAsia="Arial" w:hAnsi="Arial"/>
          <w:sz w:val="14"/>
          <w:szCs w:val="14"/>
          <w:color w:val="auto"/>
        </w:rPr>
        <w:t>Since inception, the Company has devoted substantially all its efforts to business planning, conducting research and development, recruiting management and technical staff, and raising capital. The Company has financed its operations primarily through private placements of convertible preference shares and issuance of convertible debt and, most recently, from the sale of common stock in its initial public offering (the “IPO”) in May 2026.</w:t>
      </w:r>
    </w:p>
    <w:p>
      <w:pPr>
        <w:spacing w:after="0" w:line="135" w:lineRule="exact"/>
        <w:rPr>
          <w:sz w:val="20"/>
          <w:szCs w:val="20"/>
          <w:color w:val="auto"/>
        </w:rPr>
      </w:pPr>
    </w:p>
    <w:p>
      <w:pPr>
        <w:ind w:left="1220" w:right="279" w:firstLine="353"/>
        <w:spacing w:after="0" w:line="252" w:lineRule="auto"/>
        <w:rPr>
          <w:sz w:val="20"/>
          <w:szCs w:val="20"/>
          <w:color w:val="auto"/>
        </w:rPr>
      </w:pPr>
      <w:r>
        <w:rPr>
          <w:rFonts w:ascii="Arial" w:cs="Arial" w:eastAsia="Arial" w:hAnsi="Arial"/>
          <w:sz w:val="14"/>
          <w:szCs w:val="14"/>
          <w:color w:val="auto"/>
        </w:rPr>
        <w:t>The Company’s continued discovery and development of product candidates will require significant additional research and development efforts, including extensive preclinical and clinical testing and regulatory approval prior to commercialization. These efforts require significant amounts of additional capital, adequate personnel, infrastructure, and compliance-reporting capabilities. Even if the Company’s product development efforts are successful, it is uncertain when, if ever, the Company will generate significant revenue from product sales.</w:t>
      </w:r>
    </w:p>
    <w:p>
      <w:pPr>
        <w:spacing w:after="0" w:line="139"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The Company has incurred losses since inception and had an accumulated deficit of $204.5 million as of March 31, 2026. The Company expects that its operating losses and negative cash flows will continue for the foreseeable future as it continues development of its product candidates.</w:t>
      </w:r>
    </w:p>
    <w:p>
      <w:pPr>
        <w:spacing w:after="0" w:line="131" w:lineRule="exact"/>
        <w:rPr>
          <w:sz w:val="20"/>
          <w:szCs w:val="20"/>
          <w:color w:val="auto"/>
        </w:rPr>
      </w:pPr>
    </w:p>
    <w:p>
      <w:pPr>
        <w:ind w:left="1220" w:right="199" w:firstLine="353"/>
        <w:spacing w:after="0" w:line="256" w:lineRule="auto"/>
        <w:rPr>
          <w:sz w:val="20"/>
          <w:szCs w:val="20"/>
          <w:color w:val="auto"/>
        </w:rPr>
      </w:pPr>
      <w:r>
        <w:rPr>
          <w:rFonts w:ascii="Arial" w:cs="Arial" w:eastAsia="Arial" w:hAnsi="Arial"/>
          <w:sz w:val="14"/>
          <w:szCs w:val="14"/>
          <w:color w:val="auto"/>
        </w:rPr>
        <w:t>As of March 31, 2026, the Company had cash and cash equivalents, and marketable securities of $163.5 million. The Company believes that its existing cash, cash equivalents, and marketable securities, together with the net proceeds from the IPO of approximately $317.2 million, will enable it to fund its operating expenses and capital expenditure requirements for at least one year from the date of the issuance of these unaudited condensed consolidated financial statements.</w:t>
      </w:r>
    </w:p>
    <w:p>
      <w:pPr>
        <w:spacing w:after="0" w:line="135" w:lineRule="exact"/>
        <w:rPr>
          <w:sz w:val="20"/>
          <w:szCs w:val="20"/>
          <w:color w:val="auto"/>
        </w:rPr>
      </w:pPr>
    </w:p>
    <w:p>
      <w:pPr>
        <w:ind w:left="1220" w:right="179" w:firstLine="353"/>
        <w:spacing w:after="0" w:line="249" w:lineRule="auto"/>
        <w:rPr>
          <w:sz w:val="20"/>
          <w:szCs w:val="20"/>
          <w:color w:val="auto"/>
        </w:rPr>
      </w:pPr>
      <w:r>
        <w:rPr>
          <w:rFonts w:ascii="Arial" w:cs="Arial" w:eastAsia="Arial" w:hAnsi="Arial"/>
          <w:sz w:val="14"/>
          <w:szCs w:val="14"/>
          <w:color w:val="auto"/>
        </w:rPr>
        <w:t>Until such a time when the Company can generate significant revenue from product sales, if ever, the Company expects to finance its operations through a combination of equity offerings, debt financings, collaborations, strategic alliances, and marketing, distribution or licensing arrangements. The Company may be unable to raise additional funds or enter into such other agreements or arrangements when needed, on favorable terms, or at all. The Company’s failure to raise capital or enter into such agreements or arrangements as, and when needed, could have a material adverse effect on its business, results of operations and financial condition, including potentially requiring it to delay, limit, reduce or eliminate product development or future commercialization efforts, or grant rights to develop and market current or future development product candidates that the Company would otherwise prefer to develop and market itself.</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88" w:lineRule="exact"/>
        <w:rPr>
          <w:sz w:val="20"/>
          <w:szCs w:val="20"/>
          <w:color w:val="auto"/>
        </w:rPr>
      </w:pPr>
    </w:p>
    <w:p>
      <w:pPr>
        <w:ind w:left="1220" w:right="279" w:firstLine="353"/>
        <w:spacing w:after="0" w:line="256" w:lineRule="auto"/>
        <w:rPr>
          <w:sz w:val="20"/>
          <w:szCs w:val="20"/>
          <w:color w:val="auto"/>
        </w:rPr>
      </w:pPr>
      <w:r>
        <w:rPr>
          <w:rFonts w:ascii="Arial" w:cs="Arial" w:eastAsia="Arial" w:hAnsi="Arial"/>
          <w:sz w:val="14"/>
          <w:szCs w:val="14"/>
          <w:color w:val="auto"/>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final prospectus filed pursuant to Rule 424(b)(4) under the Securities Act of 1933, as amended, with the U.S. Securities Exchange Commission on May 1, 2026, except as noted below.</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86"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 xml:space="preserve">The Company’s condensed consolidated financial statements include the accounts of its subsidiaries, Hemab ApS and Hemab Therapeutics, Inc., which was a wholly owned subsidiary of Hemab ApS until April 1, 2026. As a result of the corporate reorganization described in Note 1 “Description of Business and Liquidity—Corporate Reorganization”, Hemab ApS became a wholly owned subsidiary of Hemab Therapeutics Holdings, Inc. and, accordingly, the Company’s consolidated financial statements are those of Hemab Therapeutics Holdings, Inc. for the periods after the corporate reorganization and are those of Hemab ApS for historical periods before the corporate reorganization. Management has concluded the Company has a single reporting segment for purposes of reporting financial condition and results of operations. All intercompany transactions and balances have been eliminated in accordance with ASC 810, </w:t>
      </w:r>
      <w:r>
        <w:rPr>
          <w:rFonts w:ascii="Arial" w:cs="Arial" w:eastAsia="Arial" w:hAnsi="Arial"/>
          <w:sz w:val="14"/>
          <w:szCs w:val="14"/>
          <w:i w:val="1"/>
          <w:iCs w:val="1"/>
          <w:color w:val="auto"/>
        </w:rPr>
        <w:t>Consolidation</w:t>
      </w:r>
      <w:r>
        <w:rPr>
          <w:rFonts w:ascii="Arial" w:cs="Arial" w:eastAsia="Arial" w:hAnsi="Arial"/>
          <w:sz w:val="14"/>
          <w:szCs w:val="14"/>
          <w:color w:val="auto"/>
        </w:rPr>
        <w:t>.</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159"/>
          </w:cols>
          <w:pgMar w:left="300" w:top="415"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86" w:lineRule="exact"/>
        <w:rPr>
          <w:sz w:val="20"/>
          <w:szCs w:val="20"/>
          <w:color w:val="auto"/>
        </w:rPr>
      </w:pPr>
    </w:p>
    <w:p>
      <w:pPr>
        <w:ind w:left="1220" w:right="119" w:firstLine="353"/>
        <w:spacing w:after="0" w:line="256" w:lineRule="auto"/>
        <w:rPr>
          <w:sz w:val="20"/>
          <w:szCs w:val="20"/>
          <w:color w:val="auto"/>
        </w:rPr>
      </w:pPr>
      <w:r>
        <w:rPr>
          <w:rFonts w:ascii="Arial" w:cs="Arial" w:eastAsia="Arial" w:hAnsi="Arial"/>
          <w:sz w:val="14"/>
          <w:szCs w:val="14"/>
          <w:color w:val="auto"/>
        </w:rPr>
        <w:t>The accompanying unaudited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Updates (“ASU”) of the Financial Accounting Standards Board (“FASB”).</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Unaudited Interim Consolidated Financial Information</w:t>
      </w:r>
    </w:p>
    <w:p>
      <w:pPr>
        <w:spacing w:after="0" w:line="86" w:lineRule="exact"/>
        <w:rPr>
          <w:sz w:val="20"/>
          <w:szCs w:val="20"/>
          <w:color w:val="auto"/>
        </w:rPr>
      </w:pPr>
    </w:p>
    <w:p>
      <w:pPr>
        <w:ind w:left="1220" w:right="179" w:firstLine="353"/>
        <w:spacing w:after="0" w:line="247" w:lineRule="auto"/>
        <w:rPr>
          <w:sz w:val="20"/>
          <w:szCs w:val="20"/>
          <w:color w:val="auto"/>
        </w:rPr>
      </w:pPr>
      <w:r>
        <w:rPr>
          <w:rFonts w:ascii="Arial" w:cs="Arial" w:eastAsia="Arial" w:hAnsi="Arial"/>
          <w:sz w:val="14"/>
          <w:szCs w:val="14"/>
          <w:color w:val="auto"/>
        </w:rPr>
        <w:t>The accompanying unaudited condensed consolidated financial statements have been prepared on the same basis as the annual consolidated financial statements of Hemab ApS and reflect, in the opinion of management, all adjustments of a normal and recurring nature that are necessary for the fair statement of the Company’s financial position as of March 31, 2026 and its results of operations and cash flows for the three months ended March 31, 2026 and 2025. The results of operations for the three months ended March 31, 2026 are not necessarily indicative of the results to be expected for the year ending December 31, 2026, or for any other future annual or interim period. The condensed consolidated balance sheet as of December 31, 2025 included herein was derived from the audited financial statements of Hemab ApS as of that date. Certain information and footnote disclosures normally included in consolidated financial statements prepared in accordance with GAAP have been condensed or omitted from these unaudited condensed consolidated financial statements.</w:t>
      </w:r>
    </w:p>
    <w:p>
      <w:pPr>
        <w:spacing w:after="0" w:line="39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Foreign Currency</w:t>
      </w:r>
    </w:p>
    <w:p>
      <w:pPr>
        <w:spacing w:after="0" w:line="86" w:lineRule="exact"/>
        <w:rPr>
          <w:sz w:val="20"/>
          <w:szCs w:val="20"/>
          <w:color w:val="auto"/>
        </w:rPr>
      </w:pPr>
    </w:p>
    <w:p>
      <w:pPr>
        <w:ind w:left="1220" w:right="359" w:firstLine="353"/>
        <w:spacing w:after="0" w:line="256" w:lineRule="auto"/>
        <w:rPr>
          <w:sz w:val="20"/>
          <w:szCs w:val="20"/>
          <w:color w:val="auto"/>
        </w:rPr>
      </w:pPr>
      <w:r>
        <w:rPr>
          <w:rFonts w:ascii="Arial" w:cs="Arial" w:eastAsia="Arial" w:hAnsi="Arial"/>
          <w:sz w:val="14"/>
          <w:szCs w:val="14"/>
          <w:color w:val="auto"/>
        </w:rPr>
        <w:t>The financial statements are presented in U.S. dollars, the Company’s reporting currency. The functional currency of Hemab ApS and Hemab Therapeutics, Inc. is the U.S. dollar. Transaction gains and losses resulting from exchange rate changes on transactions denominated in currencies other than the U.S. dollar are recognized in other (expense) income, net in the consolidated statements of operations and comprehensive loss.</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86"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amounts reported in the condensed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accrued research and development expenses, the fair value of the ordinary shares and warrants for equity-based compensation expense, and the valuation of the Company’s deferred tax assets. Changes in estimates are recorded in the period in which they become known.</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Concentrations of Credit Risk</w:t>
      </w:r>
    </w:p>
    <w:p>
      <w:pPr>
        <w:spacing w:after="0" w:line="86" w:lineRule="exact"/>
        <w:rPr>
          <w:sz w:val="20"/>
          <w:szCs w:val="20"/>
          <w:color w:val="auto"/>
        </w:rPr>
      </w:pPr>
    </w:p>
    <w:p>
      <w:pPr>
        <w:ind w:left="1220" w:right="119" w:firstLine="353"/>
        <w:spacing w:after="0" w:line="251" w:lineRule="auto"/>
        <w:rPr>
          <w:sz w:val="20"/>
          <w:szCs w:val="20"/>
          <w:color w:val="auto"/>
        </w:rPr>
      </w:pPr>
      <w:r>
        <w:rPr>
          <w:rFonts w:ascii="Arial" w:cs="Arial" w:eastAsia="Arial" w:hAnsi="Arial"/>
          <w:sz w:val="14"/>
          <w:szCs w:val="14"/>
          <w:color w:val="auto"/>
        </w:rPr>
        <w:t>Financial instruments that potentially expose the Company to concentrations of credit risk primarily consist of cash, cash equivalents, and marketable securities. The Company’s investment portfolio is primarily comprised of short term debt securities issued by the U.S., Danish, and German governments. The Company places its cash in financial institutions that management believes to be of high credit quality and, consequently, the Company does not believe it is subject to unusual credit risk beyond the normal credit risk associated with commercial banking relationships. Bank accounts in the United States are insured by the Federal Deposit Insurance Corporation up to $250,000.</w:t>
      </w:r>
    </w:p>
    <w:p>
      <w:pPr>
        <w:spacing w:after="0" w:line="39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86"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Deferred offering costs consist of certain legal, professional, accounting and other third-party fees that are directly associated with the IPO. These direct costs are capitalized and recorded as other non-current assets on the condensed consolidated balance sheets. The deferred offering costs will be recorded against the IPO proceeds upon the consummation of the IPO, which was completed on May 4, 2026. As of March 31, 2026, the Company had $2.7 million of deferred offering costs.</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Comprehensive Loss</w:t>
      </w:r>
    </w:p>
    <w:p>
      <w:pPr>
        <w:spacing w:after="0" w:line="86" w:lineRule="exact"/>
        <w:rPr>
          <w:sz w:val="20"/>
          <w:szCs w:val="20"/>
          <w:color w:val="auto"/>
        </w:rPr>
      </w:pPr>
    </w:p>
    <w:p>
      <w:pPr>
        <w:ind w:left="1220" w:right="159" w:firstLine="353"/>
        <w:spacing w:after="0" w:line="263" w:lineRule="auto"/>
        <w:rPr>
          <w:sz w:val="20"/>
          <w:szCs w:val="20"/>
          <w:color w:val="auto"/>
        </w:rPr>
      </w:pPr>
      <w:r>
        <w:rPr>
          <w:rFonts w:ascii="Arial" w:cs="Arial" w:eastAsia="Arial" w:hAnsi="Arial"/>
          <w:sz w:val="14"/>
          <w:szCs w:val="14"/>
          <w:color w:val="auto"/>
        </w:rPr>
        <w:t>Comprehensive loss includes net loss as well as other changes in stockholders’ deficit that result from transactions and events other than those with stockholders. The Company’s unrealized gains and losses on available-for sale-debt securities represent the only component of other comprehensive income (loss).</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86"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xml:space="preserve"> (“ASU 2023-09”). ASU 2023-09 will require disclosure of additional information in specified categories with respect to the reconciliation of the effective tax rate to the statutory rate (the rate reconciliation) for federal, state and foreign income taxes. ASU 2023-09 will also require information pertaining to taxes paid (net of refunds received) to be disaggregated for federal, state and foreign taxes and further disaggregated for specific jurisdictions to the extent the related amounts exceed a quantitative threshold. ASU 2023-09 will be effective for the Company in the annual periods beginning after December 15, 2025. Early adoption is permitted for annual financial statements that have not yet been issued or made available for issuance. The Company is currently assessing the impact adoption of ASU 2023-09 will have on its consolidated financial statements and related disclosures.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59"/>
          </w:cols>
          <w:pgMar w:left="300" w:top="415"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Statement—Reporting Comprehensive Income—Expense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Disaggregation Disclosures (Subtopic 220-40): Disaggregation of Income Statement Expenses </w:t>
      </w:r>
      <w:r>
        <w:rPr>
          <w:rFonts w:ascii="Arial" w:cs="Arial" w:eastAsia="Arial" w:hAnsi="Arial"/>
          <w:sz w:val="14"/>
          <w:szCs w:val="14"/>
          <w:color w:val="auto"/>
        </w:rPr>
        <w:t>(“ASU 2024-03”). ASU 2024-03 will require</w:t>
      </w:r>
      <w:r>
        <w:rPr>
          <w:rFonts w:ascii="Arial" w:cs="Arial" w:eastAsia="Arial" w:hAnsi="Arial"/>
          <w:sz w:val="14"/>
          <w:szCs w:val="14"/>
          <w:i w:val="1"/>
          <w:iCs w:val="1"/>
          <w:color w:val="auto"/>
        </w:rPr>
        <w:t xml:space="preserve"> </w:t>
      </w:r>
      <w:r>
        <w:rPr>
          <w:rFonts w:ascii="Arial" w:cs="Arial" w:eastAsia="Arial" w:hAnsi="Arial"/>
          <w:sz w:val="14"/>
          <w:szCs w:val="14"/>
          <w:color w:val="auto"/>
        </w:rPr>
        <w:t>disclosure of disaggregated information about certain income statement expense line items on an annual and interim basis, including purchases of inventory, employee compensation, depreciation, intangible asset amortization and depletion for each income statement line item that contains those expenses. ASU 2024-03 also will require certain amounts already disclosed under existing U.S. GAAP to also be disclosed as a separate category in disaggregated expense table(s), if those amounts are recognized in the relevant expense line item. The amendments in ASU 2024-03 will be effective for the Company in annual reporting periods beginning after December 15, 2026, and interim reporting periods within annual reporting periods beginning after December 15, 2027. The Company is currently assessing the impact adoption of ASU 2024-03 will have on its consolidated financial statements and related disclosures.</w:t>
      </w:r>
    </w:p>
    <w:p>
      <w:pPr>
        <w:spacing w:after="0" w:line="143"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 Narrow-Scope Improvements</w:t>
      </w:r>
      <w:r>
        <w:rPr>
          <w:rFonts w:ascii="Arial" w:cs="Arial" w:eastAsia="Arial" w:hAnsi="Arial"/>
          <w:sz w:val="14"/>
          <w:szCs w:val="14"/>
          <w:color w:val="auto"/>
        </w:rPr>
        <w:t xml:space="preserve"> (“ASU 2025-11”) to provide clarifications intended to improve the consistency and usability of interim disclosure requirements. ASU 2025-11 includes a comprehensive listing of required interim disclosures and a new disclosure principle for reporting material events occurring after the most recent annual period. ASU 2025-11 is effective for interim periods within annual reporting periods beginning after December 15, 2027, and early adoption is permitted. The amendments in this update permit an entity to apply the new guidance using a prospective or retrospective approach. The Company is currently assessing the impact adoption of ASU 2025-11 will have on its consolidated financial statements and related disclosures.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3. Fair Value Measurements</w:t>
      </w:r>
    </w:p>
    <w:p>
      <w:pPr>
        <w:spacing w:after="0" w:line="88" w:lineRule="exact"/>
        <w:rPr>
          <w:sz w:val="20"/>
          <w:szCs w:val="20"/>
          <w:color w:val="auto"/>
        </w:rPr>
      </w:pPr>
    </w:p>
    <w:p>
      <w:pPr>
        <w:ind w:left="1220" w:right="539" w:firstLine="353"/>
        <w:spacing w:after="0" w:line="263" w:lineRule="auto"/>
        <w:rPr>
          <w:sz w:val="20"/>
          <w:szCs w:val="20"/>
          <w:color w:val="auto"/>
        </w:rPr>
      </w:pPr>
      <w:r>
        <w:rPr>
          <w:rFonts w:ascii="Arial" w:cs="Arial" w:eastAsia="Arial" w:hAnsi="Arial"/>
          <w:sz w:val="14"/>
          <w:szCs w:val="14"/>
          <w:color w:val="auto"/>
        </w:rPr>
        <w:t>The following tables present information about the Company’s financial assets measured at fair value on a recurring basis and indicate the level of the fair value hierarchy utilized to determine such fair values as of March 31, 2026 and December 31, 2025 (in thousands):</w:t>
      </w:r>
    </w:p>
    <w:p>
      <w:pPr>
        <w:spacing w:after="0" w:line="159" w:lineRule="exact"/>
        <w:rPr>
          <w:sz w:val="20"/>
          <w:szCs w:val="20"/>
          <w:color w:val="auto"/>
        </w:rPr>
      </w:pPr>
    </w:p>
    <w:tbl>
      <w:tblPr>
        <w:tblLayout w:type="fixed"/>
        <w:tblInd w:w="158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460"/>
              <w:spacing w:after="0"/>
              <w:rPr>
                <w:sz w:val="20"/>
                <w:szCs w:val="20"/>
                <w:color w:val="auto"/>
              </w:rPr>
            </w:pPr>
            <w:r>
              <w:rPr>
                <w:rFonts w:ascii="Arial" w:cs="Arial" w:eastAsia="Arial" w:hAnsi="Arial"/>
                <w:sz w:val="12"/>
                <w:szCs w:val="12"/>
                <w:b w:val="1"/>
                <w:bCs w:val="1"/>
                <w:color w:val="auto"/>
              </w:rPr>
              <w:t>March 31, 2026</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4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Quoted</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Prices in</w:t>
            </w:r>
          </w:p>
        </w:tc>
        <w:tc>
          <w:tcPr>
            <w:tcW w:w="380" w:type="dxa"/>
            <w:vAlign w:val="bottom"/>
          </w:tcPr>
          <w:p>
            <w:pPr>
              <w:spacing w:after="0"/>
              <w:rPr>
                <w:sz w:val="11"/>
                <w:szCs w:val="11"/>
                <w:color w:val="auto"/>
              </w:rPr>
            </w:pPr>
          </w:p>
        </w:tc>
        <w:tc>
          <w:tcPr>
            <w:tcW w:w="1020" w:type="dxa"/>
            <w:vAlign w:val="bottom"/>
            <w:gridSpan w:val="3"/>
          </w:tcPr>
          <w:p>
            <w:pPr>
              <w:jc w:val="center"/>
              <w:ind w:right="360"/>
              <w:spacing w:after="0" w:line="130" w:lineRule="exact"/>
              <w:rPr>
                <w:sz w:val="20"/>
                <w:szCs w:val="20"/>
                <w:color w:val="auto"/>
              </w:rPr>
            </w:pPr>
            <w:r>
              <w:rPr>
                <w:rFonts w:ascii="Arial" w:cs="Arial" w:eastAsia="Arial" w:hAnsi="Arial"/>
                <w:sz w:val="12"/>
                <w:szCs w:val="12"/>
                <w:b w:val="1"/>
                <w:bCs w:val="1"/>
                <w:color w:val="auto"/>
                <w:w w:val="94"/>
              </w:rPr>
              <w:t>Significant</w:t>
            </w:r>
          </w:p>
        </w:tc>
        <w:tc>
          <w:tcPr>
            <w:tcW w:w="100" w:type="dxa"/>
            <w:vAlign w:val="bottom"/>
          </w:tcPr>
          <w:p>
            <w:pPr>
              <w:spacing w:after="0"/>
              <w:rPr>
                <w:sz w:val="11"/>
                <w:szCs w:val="11"/>
                <w:color w:val="auto"/>
              </w:rPr>
            </w:pPr>
          </w:p>
        </w:tc>
        <w:tc>
          <w:tcPr>
            <w:tcW w:w="680" w:type="dxa"/>
            <w:vAlign w:val="bottom"/>
          </w:tcPr>
          <w:p>
            <w:pPr>
              <w:jc w:val="center"/>
              <w:ind w:right="35"/>
              <w:spacing w:after="0" w:line="130" w:lineRule="exact"/>
              <w:rPr>
                <w:sz w:val="20"/>
                <w:szCs w:val="20"/>
                <w:color w:val="auto"/>
              </w:rPr>
            </w:pPr>
            <w:r>
              <w:rPr>
                <w:rFonts w:ascii="Arial" w:cs="Arial" w:eastAsia="Arial" w:hAnsi="Arial"/>
                <w:sz w:val="12"/>
                <w:szCs w:val="12"/>
                <w:b w:val="1"/>
                <w:bCs w:val="1"/>
                <w:color w:val="auto"/>
                <w:w w:val="94"/>
              </w:rPr>
              <w:t>Significant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4"/>
              </w:rPr>
              <w:t>Active</w:t>
            </w:r>
          </w:p>
        </w:tc>
        <w:tc>
          <w:tcPr>
            <w:tcW w:w="380" w:type="dxa"/>
            <w:vAlign w:val="bottom"/>
          </w:tcPr>
          <w:p>
            <w:pPr>
              <w:spacing w:after="0"/>
              <w:rPr>
                <w:sz w:val="11"/>
                <w:szCs w:val="11"/>
                <w:color w:val="auto"/>
              </w:rPr>
            </w:pPr>
          </w:p>
        </w:tc>
        <w:tc>
          <w:tcPr>
            <w:tcW w:w="1020" w:type="dxa"/>
            <w:vAlign w:val="bottom"/>
            <w:gridSpan w:val="3"/>
          </w:tcPr>
          <w:p>
            <w:pPr>
              <w:jc w:val="right"/>
              <w:ind w:right="380"/>
              <w:spacing w:after="0" w:line="130" w:lineRule="exact"/>
              <w:rPr>
                <w:sz w:val="20"/>
                <w:szCs w:val="20"/>
                <w:color w:val="auto"/>
              </w:rPr>
            </w:pPr>
            <w:r>
              <w:rPr>
                <w:rFonts w:ascii="Arial" w:cs="Arial" w:eastAsia="Arial" w:hAnsi="Arial"/>
                <w:sz w:val="12"/>
                <w:szCs w:val="12"/>
                <w:b w:val="1"/>
                <w:bCs w:val="1"/>
                <w:color w:val="auto"/>
                <w:w w:val="94"/>
              </w:rPr>
              <w:t>Observable</w:t>
            </w: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Unobservable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6"/>
              </w:rPr>
              <w:t>Markets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460"/>
              <w:spacing w:after="0" w:line="130" w:lineRule="exact"/>
              <w:rPr>
                <w:sz w:val="20"/>
                <w:szCs w:val="20"/>
                <w:color w:val="auto"/>
              </w:rPr>
            </w:pPr>
            <w:r>
              <w:rPr>
                <w:rFonts w:ascii="Arial" w:cs="Arial" w:eastAsia="Arial" w:hAnsi="Arial"/>
                <w:sz w:val="12"/>
                <w:szCs w:val="12"/>
                <w:b w:val="1"/>
                <w:bCs w:val="1"/>
                <w:color w:val="auto"/>
                <w:w w:val="94"/>
              </w:rPr>
              <w:t>Inputs</w:t>
            </w:r>
          </w:p>
        </w:tc>
        <w:tc>
          <w:tcPr>
            <w:tcW w:w="100" w:type="dxa"/>
            <w:vAlign w:val="bottom"/>
          </w:tcPr>
          <w:p>
            <w:pPr>
              <w:spacing w:after="0"/>
              <w:rPr>
                <w:sz w:val="11"/>
                <w:szCs w:val="11"/>
                <w:color w:val="auto"/>
              </w:rPr>
            </w:pPr>
          </w:p>
        </w:tc>
        <w:tc>
          <w:tcPr>
            <w:tcW w:w="680" w:type="dxa"/>
            <w:vAlign w:val="bottom"/>
          </w:tcPr>
          <w:p>
            <w:pPr>
              <w:jc w:val="center"/>
              <w:ind w:right="35"/>
              <w:spacing w:after="0" w:line="130" w:lineRule="exact"/>
              <w:rPr>
                <w:sz w:val="20"/>
                <w:szCs w:val="20"/>
                <w:color w:val="auto"/>
              </w:rPr>
            </w:pPr>
            <w:r>
              <w:rPr>
                <w:rFonts w:ascii="Arial" w:cs="Arial" w:eastAsia="Arial" w:hAnsi="Arial"/>
                <w:sz w:val="12"/>
                <w:szCs w:val="12"/>
                <w:b w:val="1"/>
                <w:bCs w:val="1"/>
                <w:color w:val="auto"/>
                <w:w w:val="94"/>
              </w:rPr>
              <w:t>Inputs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(Level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4"/>
              </w:rPr>
              <w:t>(Level 2)</w:t>
            </w:r>
          </w:p>
        </w:tc>
        <w:tc>
          <w:tcPr>
            <w:tcW w:w="100" w:type="dxa"/>
            <w:vAlign w:val="bottom"/>
          </w:tcPr>
          <w:p>
            <w:pPr>
              <w:spacing w:after="0"/>
              <w:rPr>
                <w:sz w:val="12"/>
                <w:szCs w:val="12"/>
                <w:color w:val="auto"/>
              </w:rPr>
            </w:pPr>
          </w:p>
        </w:tc>
        <w:tc>
          <w:tcPr>
            <w:tcW w:w="680" w:type="dxa"/>
            <w:vAlign w:val="bottom"/>
          </w:tcPr>
          <w:p>
            <w:pPr>
              <w:jc w:val="center"/>
              <w:ind w:right="35"/>
              <w:spacing w:after="0"/>
              <w:rPr>
                <w:sz w:val="20"/>
                <w:szCs w:val="20"/>
                <w:color w:val="auto"/>
              </w:rPr>
            </w:pPr>
            <w:r>
              <w:rPr>
                <w:rFonts w:ascii="Arial" w:cs="Arial" w:eastAsia="Arial" w:hAnsi="Arial"/>
                <w:sz w:val="12"/>
                <w:szCs w:val="12"/>
                <w:b w:val="1"/>
                <w:bCs w:val="1"/>
                <w:color w:val="auto"/>
                <w:w w:val="94"/>
              </w:rPr>
              <w:t>(Level 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Marketable securities:</w:t>
            </w:r>
          </w:p>
        </w:tc>
        <w:tc>
          <w:tcPr>
            <w:tcW w:w="1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300"/>
              <w:spacing w:after="0"/>
              <w:rPr>
                <w:sz w:val="20"/>
                <w:szCs w:val="20"/>
                <w:color w:val="auto"/>
              </w:rPr>
            </w:pPr>
            <w:r>
              <w:rPr>
                <w:rFonts w:ascii="Arial" w:cs="Arial" w:eastAsia="Arial" w:hAnsi="Arial"/>
                <w:sz w:val="14"/>
                <w:szCs w:val="14"/>
                <w:color w:val="auto"/>
              </w:rPr>
              <w:t>U.S. treasury securities</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00" w:type="dxa"/>
            <w:vAlign w:val="bottom"/>
          </w:tcPr>
          <w:p>
            <w:pPr>
              <w:ind w:left="100"/>
              <w:spacing w:after="0"/>
              <w:rPr>
                <w:sz w:val="20"/>
                <w:szCs w:val="20"/>
                <w:color w:val="auto"/>
              </w:rPr>
            </w:pPr>
            <w:r>
              <w:rPr>
                <w:rFonts w:ascii="Arial" w:cs="Arial" w:eastAsia="Arial" w:hAnsi="Arial"/>
                <w:sz w:val="14"/>
                <w:szCs w:val="14"/>
                <w:color w:val="auto"/>
                <w:w w:val="85"/>
              </w:rPr>
              <w:t>— </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98,281</w:t>
            </w:r>
          </w:p>
        </w:tc>
        <w:tc>
          <w:tcPr>
            <w:tcW w:w="10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w w:val="95"/>
              </w:rPr>
              <w:t>— </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98,281</w:t>
            </w:r>
          </w:p>
        </w:tc>
        <w:tc>
          <w:tcPr>
            <w:tcW w:w="0" w:type="dxa"/>
            <w:vAlign w:val="bottom"/>
          </w:tcPr>
          <w:p>
            <w:pPr>
              <w:spacing w:after="0"/>
              <w:rPr>
                <w:sz w:val="1"/>
                <w:szCs w:val="1"/>
                <w:color w:val="auto"/>
              </w:rPr>
            </w:pPr>
          </w:p>
        </w:tc>
      </w:tr>
      <w:tr>
        <w:trPr>
          <w:trHeight w:val="162"/>
        </w:trPr>
        <w:tc>
          <w:tcPr>
            <w:tcW w:w="34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Non-U.S. debt securities</w:t>
            </w: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4"/>
                <w:szCs w:val="14"/>
                <w:color w:val="auto"/>
                <w:w w:val="85"/>
              </w:rPr>
              <w:t>— </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15,390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5"/>
              </w:rPr>
              <w:t>— </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15,390</w:t>
            </w:r>
          </w:p>
        </w:tc>
        <w:tc>
          <w:tcPr>
            <w:tcW w:w="0" w:type="dxa"/>
            <w:vAlign w:val="bottom"/>
          </w:tcPr>
          <w:p>
            <w:pPr>
              <w:spacing w:after="0"/>
              <w:rPr>
                <w:sz w:val="1"/>
                <w:szCs w:val="1"/>
                <w:color w:val="auto"/>
              </w:rPr>
            </w:pPr>
          </w:p>
        </w:tc>
      </w:tr>
      <w:tr>
        <w:trPr>
          <w:trHeight w:val="164"/>
        </w:trPr>
        <w:tc>
          <w:tcPr>
            <w:tcW w:w="3400" w:type="dxa"/>
            <w:vAlign w:val="bottom"/>
          </w:tcPr>
          <w:p>
            <w:pPr>
              <w:ind w:left="580"/>
              <w:spacing w:after="0"/>
              <w:rPr>
                <w:sz w:val="20"/>
                <w:szCs w:val="20"/>
                <w:color w:val="auto"/>
              </w:rPr>
            </w:pPr>
            <w:r>
              <w:rPr>
                <w:rFonts w:ascii="Arial" w:cs="Arial" w:eastAsia="Arial" w:hAnsi="Arial"/>
                <w:sz w:val="14"/>
                <w:szCs w:val="14"/>
                <w:color w:val="auto"/>
              </w:rPr>
              <w:t>Total assets measured at fair value</w:t>
            </w:r>
          </w:p>
        </w:tc>
        <w:tc>
          <w:tcPr>
            <w:tcW w:w="10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 xml:space="preserve">— </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113,671</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w w:val="95"/>
              </w:rPr>
              <w:t>— </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113,671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4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5"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9" w:lineRule="exact"/>
        <w:rPr>
          <w:sz w:val="20"/>
          <w:szCs w:val="20"/>
          <w:color w:val="auto"/>
        </w:rPr>
      </w:pPr>
    </w:p>
    <w:tbl>
      <w:tblPr>
        <w:tblLayout w:type="fixed"/>
        <w:tblInd w:w="158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5"/>
          </w:tcPr>
          <w:p>
            <w:pPr>
              <w:ind w:left="360"/>
              <w:spacing w:after="0"/>
              <w:rPr>
                <w:sz w:val="20"/>
                <w:szCs w:val="20"/>
                <w:color w:val="auto"/>
              </w:rPr>
            </w:pPr>
            <w:r>
              <w:rPr>
                <w:rFonts w:ascii="Arial" w:cs="Arial" w:eastAsia="Arial" w:hAnsi="Arial"/>
                <w:sz w:val="12"/>
                <w:szCs w:val="12"/>
                <w:b w:val="1"/>
                <w:bCs w:val="1"/>
                <w:color w:val="auto"/>
              </w:rPr>
              <w:t>December 31, 2025</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44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5"/>
              </w:rPr>
              <w:t>Quoted</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0"/>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87"/>
              </w:rPr>
              <w:t>Prices in</w:t>
            </w:r>
          </w:p>
        </w:tc>
        <w:tc>
          <w:tcPr>
            <w:tcW w:w="380" w:type="dxa"/>
            <w:vAlign w:val="bottom"/>
          </w:tcPr>
          <w:p>
            <w:pPr>
              <w:spacing w:after="0"/>
              <w:rPr>
                <w:sz w:val="11"/>
                <w:szCs w:val="11"/>
                <w:color w:val="auto"/>
              </w:rPr>
            </w:pPr>
          </w:p>
        </w:tc>
        <w:tc>
          <w:tcPr>
            <w:tcW w:w="82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7"/>
              </w:rPr>
              <w:t>Significant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Significant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0"/>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4"/>
              </w:rPr>
              <w:t>Active</w:t>
            </w:r>
          </w:p>
        </w:tc>
        <w:tc>
          <w:tcPr>
            <w:tcW w:w="380" w:type="dxa"/>
            <w:vAlign w:val="bottom"/>
          </w:tcPr>
          <w:p>
            <w:pPr>
              <w:spacing w:after="0"/>
              <w:rPr>
                <w:sz w:val="11"/>
                <w:szCs w:val="11"/>
                <w:color w:val="auto"/>
              </w:rPr>
            </w:pP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Observable</w:t>
            </w:r>
          </w:p>
        </w:tc>
        <w:tc>
          <w:tcPr>
            <w:tcW w:w="200" w:type="dxa"/>
            <w:vAlign w:val="bottom"/>
          </w:tcPr>
          <w:p>
            <w:pPr>
              <w:spacing w:after="0"/>
              <w:rPr>
                <w:sz w:val="11"/>
                <w:szCs w:val="11"/>
                <w:color w:val="auto"/>
              </w:rPr>
            </w:pP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Unobservable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0"/>
        </w:trPr>
        <w:tc>
          <w:tcPr>
            <w:tcW w:w="4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Markets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80"/>
              <w:spacing w:after="0" w:line="130" w:lineRule="exact"/>
              <w:rPr>
                <w:sz w:val="20"/>
                <w:szCs w:val="20"/>
                <w:color w:val="auto"/>
              </w:rPr>
            </w:pPr>
            <w:r>
              <w:rPr>
                <w:rFonts w:ascii="Arial" w:cs="Arial" w:eastAsia="Arial" w:hAnsi="Arial"/>
                <w:sz w:val="12"/>
                <w:szCs w:val="12"/>
                <w:b w:val="1"/>
                <w:bCs w:val="1"/>
                <w:color w:val="auto"/>
                <w:w w:val="94"/>
              </w:rPr>
              <w:t>Inputs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4"/>
              <w:spacing w:after="0" w:line="130" w:lineRule="exact"/>
              <w:rPr>
                <w:sz w:val="20"/>
                <w:szCs w:val="20"/>
                <w:color w:val="auto"/>
              </w:rPr>
            </w:pPr>
            <w:r>
              <w:rPr>
                <w:rFonts w:ascii="Arial" w:cs="Arial" w:eastAsia="Arial" w:hAnsi="Arial"/>
                <w:sz w:val="12"/>
                <w:szCs w:val="12"/>
                <w:b w:val="1"/>
                <w:bCs w:val="1"/>
                <w:color w:val="auto"/>
                <w:w w:val="99"/>
              </w:rPr>
              <w:t>Inputs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8"/>
        </w:trPr>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w w:val="90"/>
              </w:rPr>
              <w:t>(Level 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4"/>
              <w:spacing w:after="0"/>
              <w:rPr>
                <w:sz w:val="20"/>
                <w:szCs w:val="20"/>
                <w:color w:val="auto"/>
              </w:rPr>
            </w:pPr>
            <w:r>
              <w:rPr>
                <w:rFonts w:ascii="Arial" w:cs="Arial" w:eastAsia="Arial" w:hAnsi="Arial"/>
                <w:sz w:val="12"/>
                <w:szCs w:val="12"/>
                <w:b w:val="1"/>
                <w:bCs w:val="1"/>
                <w:color w:val="auto"/>
                <w:w w:val="98"/>
              </w:rPr>
              <w:t>(Level 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w:t>
            </w:r>
          </w:p>
        </w:tc>
      </w:tr>
      <w:tr>
        <w:trPr>
          <w:trHeight w:val="142"/>
        </w:trPr>
        <w:tc>
          <w:tcPr>
            <w:tcW w:w="444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equivalents:</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2"/>
        </w:trPr>
        <w:tc>
          <w:tcPr>
            <w:tcW w:w="4440" w:type="dxa"/>
            <w:vAlign w:val="bottom"/>
          </w:tcPr>
          <w:p>
            <w:pPr>
              <w:ind w:left="300"/>
              <w:spacing w:after="0"/>
              <w:rPr>
                <w:sz w:val="20"/>
                <w:szCs w:val="20"/>
                <w:color w:val="auto"/>
              </w:rPr>
            </w:pPr>
            <w:r>
              <w:rPr>
                <w:rFonts w:ascii="Arial" w:cs="Arial" w:eastAsia="Arial" w:hAnsi="Arial"/>
                <w:sz w:val="14"/>
                <w:szCs w:val="14"/>
                <w:color w:val="auto"/>
              </w:rPr>
              <w:t>Certificates of deposit</w:t>
            </w:r>
          </w:p>
        </w:tc>
        <w:tc>
          <w:tcPr>
            <w:tcW w:w="160" w:type="dxa"/>
            <w:vAlign w:val="bottom"/>
            <w:gridSpan w:val="2"/>
          </w:tcPr>
          <w:p>
            <w:pPr>
              <w:spacing w:after="0"/>
              <w:rPr>
                <w:sz w:val="20"/>
                <w:szCs w:val="20"/>
                <w:color w:val="auto"/>
              </w:rPr>
            </w:pPr>
            <w:r>
              <w:rPr>
                <w:rFonts w:ascii="Arial" w:cs="Arial" w:eastAsia="Arial" w:hAnsi="Arial"/>
                <w:sz w:val="14"/>
                <w:szCs w:val="14"/>
                <w:color w:val="auto"/>
              </w:rPr>
              <w:t>$</w:t>
            </w:r>
          </w:p>
        </w:tc>
        <w:tc>
          <w:tcPr>
            <w:tcW w:w="320" w:type="dxa"/>
            <w:vAlign w:val="bottom"/>
          </w:tcPr>
          <w:p>
            <w:pPr>
              <w:ind w:left="100"/>
              <w:spacing w:after="0"/>
              <w:rPr>
                <w:sz w:val="20"/>
                <w:szCs w:val="20"/>
                <w:color w:val="auto"/>
              </w:rPr>
            </w:pPr>
            <w:r>
              <w:rPr>
                <w:rFonts w:ascii="Arial" w:cs="Arial" w:eastAsia="Arial" w:hAnsi="Arial"/>
                <w:sz w:val="14"/>
                <w:szCs w:val="14"/>
                <w:color w:val="auto"/>
                <w:w w:val="95"/>
              </w:rPr>
              <w:t>— </w:t>
            </w:r>
          </w:p>
        </w:tc>
        <w:tc>
          <w:tcPr>
            <w:tcW w:w="460" w:type="dxa"/>
            <w:vAlign w:val="bottom"/>
            <w:gridSpan w:val="2"/>
          </w:tcPr>
          <w:p>
            <w:pPr>
              <w:ind w:left="380"/>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50,930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460"/>
              <w:spacing w:after="0"/>
              <w:rPr>
                <w:sz w:val="20"/>
                <w:szCs w:val="20"/>
                <w:color w:val="auto"/>
              </w:rPr>
            </w:pPr>
            <w:r>
              <w:rPr>
                <w:rFonts w:ascii="Arial" w:cs="Arial" w:eastAsia="Arial" w:hAnsi="Arial"/>
                <w:sz w:val="14"/>
                <w:szCs w:val="14"/>
                <w:color w:val="auto"/>
                <w:w w:val="95"/>
              </w:rPr>
              <w:t>— </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50,930</w:t>
            </w:r>
          </w:p>
        </w:tc>
      </w:tr>
      <w:tr>
        <w:trPr>
          <w:trHeight w:val="162"/>
        </w:trPr>
        <w:tc>
          <w:tcPr>
            <w:tcW w:w="4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Non-U.S. debt securities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— </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17,638</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5"/>
              </w:rPr>
              <w:t>— </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17,638</w:t>
            </w:r>
          </w:p>
        </w:tc>
      </w:tr>
      <w:tr>
        <w:trPr>
          <w:trHeight w:val="162"/>
        </w:trPr>
        <w:tc>
          <w:tcPr>
            <w:tcW w:w="4440" w:type="dxa"/>
            <w:vAlign w:val="bottom"/>
          </w:tcPr>
          <w:p>
            <w:pPr>
              <w:spacing w:after="0"/>
              <w:rPr>
                <w:sz w:val="20"/>
                <w:szCs w:val="20"/>
                <w:color w:val="auto"/>
              </w:rPr>
            </w:pPr>
            <w:r>
              <w:rPr>
                <w:rFonts w:ascii="Arial" w:cs="Arial" w:eastAsia="Arial" w:hAnsi="Arial"/>
                <w:sz w:val="14"/>
                <w:szCs w:val="14"/>
                <w:b w:val="1"/>
                <w:bCs w:val="1"/>
                <w:color w:val="auto"/>
              </w:rPr>
              <w:t>Marketable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U.S. treasury securities</w:t>
            </w:r>
          </w:p>
        </w:tc>
        <w:tc>
          <w:tcPr>
            <w:tcW w:w="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 </w:t>
            </w: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97,511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5"/>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97,511</w:t>
            </w:r>
          </w:p>
        </w:tc>
      </w:tr>
      <w:tr>
        <w:trPr>
          <w:trHeight w:val="164"/>
        </w:trPr>
        <w:tc>
          <w:tcPr>
            <w:tcW w:w="4440" w:type="dxa"/>
            <w:vAlign w:val="bottom"/>
          </w:tcPr>
          <w:p>
            <w:pPr>
              <w:ind w:left="580"/>
              <w:spacing w:after="0"/>
              <w:rPr>
                <w:sz w:val="20"/>
                <w:szCs w:val="20"/>
                <w:color w:val="auto"/>
              </w:rPr>
            </w:pPr>
            <w:r>
              <w:rPr>
                <w:rFonts w:ascii="Arial" w:cs="Arial" w:eastAsia="Arial" w:hAnsi="Arial"/>
                <w:sz w:val="14"/>
                <w:szCs w:val="14"/>
                <w:color w:val="auto"/>
              </w:rPr>
              <w:t>Total assets measured at fair value</w:t>
            </w:r>
          </w:p>
        </w:tc>
        <w:tc>
          <w:tcPr>
            <w:tcW w:w="20" w:type="dxa"/>
            <w:vAlign w:val="bottom"/>
            <w:tcBorders>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 xml:space="preserve">— </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166,079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w w:val="95"/>
              </w:rPr>
              <w:t>— </w:t>
            </w:r>
          </w:p>
        </w:tc>
        <w:tc>
          <w:tcPr>
            <w:tcW w:w="3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166,079</w:t>
            </w:r>
          </w:p>
        </w:tc>
        <w:tc>
          <w:tcPr>
            <w:tcW w:w="40" w:type="dxa"/>
            <w:vAlign w:val="bottom"/>
          </w:tcPr>
          <w:p>
            <w:pPr>
              <w:spacing w:after="0"/>
              <w:rPr>
                <w:sz w:val="14"/>
                <w:szCs w:val="14"/>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199" w:firstLine="353"/>
        <w:spacing w:after="0" w:line="263" w:lineRule="auto"/>
        <w:rPr>
          <w:sz w:val="20"/>
          <w:szCs w:val="20"/>
          <w:color w:val="auto"/>
        </w:rPr>
      </w:pPr>
      <w:r>
        <w:rPr>
          <w:rFonts w:ascii="Arial" w:cs="Arial" w:eastAsia="Arial" w:hAnsi="Arial"/>
          <w:sz w:val="14"/>
          <w:szCs w:val="14"/>
          <w:color w:val="auto"/>
        </w:rPr>
        <w:t>The Company’s cash equivalents and marketable securities were valued based on Level 2 inputs and in determining the fair value the Company relied on quoted prices for similar securities in active markets or other inputs that are observable or can be corroborated by observable market data.</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4. Available-For-Sale Debt Securities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Available-for-sale debt securities consisted of the following as of March 31, 2026 and December 31, 2025 (in thousands):</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38"/>
        </w:trPr>
        <w:tc>
          <w:tcPr>
            <w:tcW w:w="3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jc w:val="right"/>
              <w:ind w:right="508"/>
              <w:spacing w:after="0"/>
              <w:rPr>
                <w:sz w:val="20"/>
                <w:szCs w:val="20"/>
                <w:color w:val="auto"/>
              </w:rPr>
            </w:pPr>
            <w:r>
              <w:rPr>
                <w:rFonts w:ascii="Arial" w:cs="Arial" w:eastAsia="Arial" w:hAnsi="Arial"/>
                <w:sz w:val="12"/>
                <w:szCs w:val="12"/>
                <w:b w:val="1"/>
                <w:bCs w:val="1"/>
                <w:color w:val="auto"/>
              </w:rPr>
              <w:t>March 31, 2026</w:t>
            </w: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3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w w:val="95"/>
              </w:rPr>
              <w:t>Amortized</w:t>
            </w:r>
          </w:p>
        </w:tc>
        <w:tc>
          <w:tcPr>
            <w:tcW w:w="58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w w:val="92"/>
              </w:rPr>
              <w:t>Unrealized</w:t>
            </w:r>
          </w:p>
        </w:tc>
        <w:tc>
          <w:tcPr>
            <w:tcW w:w="40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Unrealized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34"/>
              <w:spacing w:after="0" w:line="113" w:lineRule="exact"/>
              <w:rPr>
                <w:sz w:val="20"/>
                <w:szCs w:val="20"/>
                <w:color w:val="auto"/>
              </w:rPr>
            </w:pPr>
            <w:r>
              <w:rPr>
                <w:rFonts w:ascii="Arial" w:cs="Arial" w:eastAsia="Arial" w:hAnsi="Arial"/>
                <w:sz w:val="12"/>
                <w:szCs w:val="12"/>
                <w:b w:val="1"/>
                <w:bCs w:val="1"/>
                <w:color w:val="auto"/>
                <w:w w:val="99"/>
              </w:rPr>
              <w:t>Fair</w:t>
            </w:r>
          </w:p>
        </w:tc>
        <w:tc>
          <w:tcPr>
            <w:tcW w:w="40" w:type="dxa"/>
            <w:vAlign w:val="bottom"/>
          </w:tcPr>
          <w:p>
            <w:pPr>
              <w:spacing w:after="0"/>
              <w:rPr>
                <w:sz w:val="9"/>
                <w:szCs w:val="9"/>
                <w:color w:val="auto"/>
              </w:rPr>
            </w:pPr>
          </w:p>
        </w:tc>
      </w:tr>
      <w:tr>
        <w:trPr>
          <w:trHeight w:val="138"/>
        </w:trPr>
        <w:tc>
          <w:tcPr>
            <w:tcW w:w="3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7"/>
              </w:rPr>
              <w:t>Cost</w:t>
            </w:r>
          </w:p>
        </w:tc>
        <w:tc>
          <w:tcPr>
            <w:tcW w:w="12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Gains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w w:val="91"/>
              </w:rPr>
              <w:t>Losses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Value</w:t>
            </w:r>
          </w:p>
        </w:tc>
      </w:tr>
      <w:tr>
        <w:trPr>
          <w:trHeight w:val="142"/>
        </w:trPr>
        <w:tc>
          <w:tcPr>
            <w:tcW w:w="32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Marketable securities:</w:t>
            </w:r>
          </w:p>
        </w:tc>
        <w:tc>
          <w:tcPr>
            <w:tcW w:w="13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2"/>
        </w:trPr>
        <w:tc>
          <w:tcPr>
            <w:tcW w:w="3200" w:type="dxa"/>
            <w:vAlign w:val="bottom"/>
          </w:tcPr>
          <w:p>
            <w:pPr>
              <w:ind w:left="300"/>
              <w:spacing w:after="0"/>
              <w:rPr>
                <w:sz w:val="20"/>
                <w:szCs w:val="20"/>
                <w:color w:val="auto"/>
              </w:rPr>
            </w:pPr>
            <w:r>
              <w:rPr>
                <w:rFonts w:ascii="Arial" w:cs="Arial" w:eastAsia="Arial" w:hAnsi="Arial"/>
                <w:sz w:val="14"/>
                <w:szCs w:val="14"/>
                <w:color w:val="auto"/>
              </w:rPr>
              <w:t>U.S. treasury securities</w:t>
            </w:r>
          </w:p>
        </w:tc>
        <w:tc>
          <w:tcPr>
            <w:tcW w:w="2320" w:type="dxa"/>
            <w:vAlign w:val="bottom"/>
            <w:gridSpan w:val="3"/>
          </w:tcPr>
          <w:p>
            <w:pPr>
              <w:jc w:val="right"/>
              <w:ind w:right="380"/>
              <w:spacing w:after="0"/>
              <w:rPr>
                <w:sz w:val="20"/>
                <w:szCs w:val="20"/>
                <w:color w:val="auto"/>
              </w:rPr>
            </w:pPr>
            <w:r>
              <w:rPr>
                <w:rFonts w:ascii="Arial" w:cs="Arial" w:eastAsia="Arial" w:hAnsi="Arial"/>
                <w:sz w:val="14"/>
                <w:szCs w:val="14"/>
                <w:color w:val="auto"/>
              </w:rPr>
              <w:t>$ 98,393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center"/>
              <w:ind w:left="174"/>
              <w:spacing w:after="0"/>
              <w:rPr>
                <w:sz w:val="20"/>
                <w:szCs w:val="20"/>
                <w:color w:val="auto"/>
              </w:rPr>
            </w:pPr>
            <w:r>
              <w:rPr>
                <w:rFonts w:ascii="Arial" w:cs="Arial" w:eastAsia="Arial" w:hAnsi="Arial"/>
                <w:sz w:val="14"/>
                <w:szCs w:val="14"/>
                <w:color w:val="auto"/>
                <w:w w:val="85"/>
              </w:rPr>
              <w:t>— </w:t>
            </w:r>
          </w:p>
        </w:tc>
        <w:tc>
          <w:tcPr>
            <w:tcW w:w="480" w:type="dxa"/>
            <w:vAlign w:val="bottom"/>
            <w:gridSpan w:val="2"/>
          </w:tcPr>
          <w:p>
            <w:pPr>
              <w:ind w:left="40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(112)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98,281</w:t>
            </w:r>
          </w:p>
        </w:tc>
      </w:tr>
      <w:tr>
        <w:trPr>
          <w:trHeight w:val="162"/>
        </w:trPr>
        <w:tc>
          <w:tcPr>
            <w:tcW w:w="32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Non-U.S. debt securities</w:t>
            </w:r>
          </w:p>
        </w:tc>
        <w:tc>
          <w:tcPr>
            <w:tcW w:w="23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15,717</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center"/>
              <w:ind w:left="174"/>
              <w:spacing w:after="0"/>
              <w:rPr>
                <w:sz w:val="20"/>
                <w:szCs w:val="20"/>
                <w:color w:val="auto"/>
              </w:rPr>
            </w:pPr>
            <w:r>
              <w:rPr>
                <w:rFonts w:ascii="Arial" w:cs="Arial" w:eastAsia="Arial" w:hAnsi="Arial"/>
                <w:sz w:val="14"/>
                <w:szCs w:val="14"/>
                <w:color w:val="auto"/>
                <w:w w:val="85"/>
              </w:rPr>
              <w:t>— </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(327)</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15,390</w:t>
            </w:r>
          </w:p>
        </w:tc>
      </w:tr>
      <w:tr>
        <w:trPr>
          <w:trHeight w:val="164"/>
        </w:trPr>
        <w:tc>
          <w:tcPr>
            <w:tcW w:w="3200" w:type="dxa"/>
            <w:vAlign w:val="bottom"/>
          </w:tcPr>
          <w:p>
            <w:pPr>
              <w:ind w:left="580"/>
              <w:spacing w:after="0"/>
              <w:rPr>
                <w:sz w:val="20"/>
                <w:szCs w:val="20"/>
                <w:color w:val="auto"/>
              </w:rPr>
            </w:pPr>
            <w:r>
              <w:rPr>
                <w:rFonts w:ascii="Arial" w:cs="Arial" w:eastAsia="Arial" w:hAnsi="Arial"/>
                <w:sz w:val="14"/>
                <w:szCs w:val="14"/>
                <w:color w:val="auto"/>
              </w:rPr>
              <w:t>Total</w:t>
            </w:r>
          </w:p>
        </w:tc>
        <w:tc>
          <w:tcPr>
            <w:tcW w:w="13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$ 114,110</w:t>
            </w: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center"/>
              <w:ind w:left="174"/>
              <w:spacing w:after="0"/>
              <w:rPr>
                <w:sz w:val="20"/>
                <w:szCs w:val="20"/>
                <w:color w:val="auto"/>
              </w:rPr>
            </w:pPr>
            <w:r>
              <w:rPr>
                <w:rFonts w:ascii="Arial" w:cs="Arial" w:eastAsia="Arial" w:hAnsi="Arial"/>
                <w:sz w:val="14"/>
                <w:szCs w:val="14"/>
                <w:color w:val="auto"/>
                <w:w w:val="85"/>
              </w:rPr>
              <w:t>— </w:t>
            </w:r>
          </w:p>
        </w:tc>
        <w:tc>
          <w:tcPr>
            <w:tcW w:w="4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113,671</w:t>
            </w:r>
          </w:p>
        </w:tc>
        <w:tc>
          <w:tcPr>
            <w:tcW w:w="40" w:type="dxa"/>
            <w:vAlign w:val="bottom"/>
          </w:tcPr>
          <w:p>
            <w:pPr>
              <w:spacing w:after="0"/>
              <w:rPr>
                <w:sz w:val="14"/>
                <w:szCs w:val="14"/>
                <w:color w:val="auto"/>
              </w:rPr>
            </w:pPr>
          </w:p>
        </w:tc>
      </w:tr>
      <w:tr>
        <w:trPr>
          <w:trHeight w:val="20"/>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6"/>
        </w:trPr>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2"/>
                <w:szCs w:val="12"/>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3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gridSpan w:val="2"/>
          </w:tcPr>
          <w:p>
            <w:pPr>
              <w:jc w:val="center"/>
              <w:ind w:right="360"/>
              <w:spacing w:after="0" w:line="113" w:lineRule="exact"/>
              <w:rPr>
                <w:sz w:val="20"/>
                <w:szCs w:val="20"/>
                <w:color w:val="auto"/>
              </w:rPr>
            </w:pPr>
            <w:r>
              <w:rPr>
                <w:rFonts w:ascii="Arial" w:cs="Arial" w:eastAsia="Arial" w:hAnsi="Arial"/>
                <w:sz w:val="12"/>
                <w:szCs w:val="12"/>
                <w:b w:val="1"/>
                <w:bCs w:val="1"/>
                <w:color w:val="auto"/>
                <w:w w:val="95"/>
              </w:rPr>
              <w:t>Amortized</w:t>
            </w:r>
          </w:p>
        </w:tc>
        <w:tc>
          <w:tcPr>
            <w:tcW w:w="580" w:type="dxa"/>
            <w:vAlign w:val="bottom"/>
            <w:gridSpan w:val="2"/>
          </w:tcPr>
          <w:p>
            <w:pPr>
              <w:spacing w:after="0" w:line="113" w:lineRule="exact"/>
              <w:rPr>
                <w:sz w:val="20"/>
                <w:szCs w:val="20"/>
                <w:color w:val="auto"/>
              </w:rPr>
            </w:pPr>
            <w:r>
              <w:rPr>
                <w:rFonts w:ascii="Arial" w:cs="Arial" w:eastAsia="Arial" w:hAnsi="Arial"/>
                <w:sz w:val="12"/>
                <w:szCs w:val="12"/>
                <w:b w:val="1"/>
                <w:bCs w:val="1"/>
                <w:color w:val="auto"/>
                <w:w w:val="92"/>
              </w:rPr>
              <w:t>Unrealized</w:t>
            </w:r>
          </w:p>
        </w:tc>
        <w:tc>
          <w:tcPr>
            <w:tcW w:w="400" w:type="dxa"/>
            <w:vAlign w:val="bottom"/>
          </w:tcPr>
          <w:p>
            <w:pPr>
              <w:spacing w:after="0"/>
              <w:rPr>
                <w:sz w:val="9"/>
                <w:szCs w:val="9"/>
                <w:color w:val="auto"/>
              </w:rPr>
            </w:pPr>
          </w:p>
        </w:tc>
        <w:tc>
          <w:tcPr>
            <w:tcW w:w="80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Unrealized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center"/>
              <w:ind w:right="34"/>
              <w:spacing w:after="0" w:line="113" w:lineRule="exact"/>
              <w:rPr>
                <w:sz w:val="20"/>
                <w:szCs w:val="20"/>
                <w:color w:val="auto"/>
              </w:rPr>
            </w:pPr>
            <w:r>
              <w:rPr>
                <w:rFonts w:ascii="Arial" w:cs="Arial" w:eastAsia="Arial" w:hAnsi="Arial"/>
                <w:sz w:val="12"/>
                <w:szCs w:val="12"/>
                <w:b w:val="1"/>
                <w:bCs w:val="1"/>
                <w:color w:val="auto"/>
                <w:w w:val="99"/>
              </w:rPr>
              <w:t>Fair</w:t>
            </w:r>
          </w:p>
        </w:tc>
        <w:tc>
          <w:tcPr>
            <w:tcW w:w="40" w:type="dxa"/>
            <w:vAlign w:val="bottom"/>
          </w:tcPr>
          <w:p>
            <w:pPr>
              <w:spacing w:after="0"/>
              <w:rPr>
                <w:sz w:val="9"/>
                <w:szCs w:val="9"/>
                <w:color w:val="auto"/>
              </w:rPr>
            </w:pPr>
          </w:p>
        </w:tc>
      </w:tr>
      <w:tr>
        <w:trPr>
          <w:trHeight w:val="138"/>
        </w:trPr>
        <w:tc>
          <w:tcPr>
            <w:tcW w:w="3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7"/>
              </w:rPr>
              <w:t>Cost</w:t>
            </w:r>
          </w:p>
        </w:tc>
        <w:tc>
          <w:tcPr>
            <w:tcW w:w="12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Gains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w w:val="91"/>
              </w:rPr>
              <w:t>Losses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Value</w:t>
            </w:r>
          </w:p>
        </w:tc>
      </w:tr>
      <w:tr>
        <w:trPr>
          <w:trHeight w:val="142"/>
        </w:trPr>
        <w:tc>
          <w:tcPr>
            <w:tcW w:w="320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Cash equivalents:</w:t>
            </w:r>
          </w:p>
        </w:tc>
        <w:tc>
          <w:tcPr>
            <w:tcW w:w="13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62"/>
        </w:trPr>
        <w:tc>
          <w:tcPr>
            <w:tcW w:w="3200" w:type="dxa"/>
            <w:vAlign w:val="bottom"/>
          </w:tcPr>
          <w:p>
            <w:pPr>
              <w:ind w:left="300"/>
              <w:spacing w:after="0"/>
              <w:rPr>
                <w:sz w:val="20"/>
                <w:szCs w:val="20"/>
                <w:color w:val="auto"/>
              </w:rPr>
            </w:pPr>
            <w:r>
              <w:rPr>
                <w:rFonts w:ascii="Arial" w:cs="Arial" w:eastAsia="Arial" w:hAnsi="Arial"/>
                <w:sz w:val="14"/>
                <w:szCs w:val="14"/>
                <w:color w:val="auto"/>
              </w:rPr>
              <w:t>Non-U.S. debt securities</w:t>
            </w:r>
          </w:p>
        </w:tc>
        <w:tc>
          <w:tcPr>
            <w:tcW w:w="2320" w:type="dxa"/>
            <w:vAlign w:val="bottom"/>
            <w:gridSpan w:val="3"/>
          </w:tcPr>
          <w:p>
            <w:pPr>
              <w:jc w:val="right"/>
              <w:ind w:right="380"/>
              <w:spacing w:after="0"/>
              <w:rPr>
                <w:sz w:val="20"/>
                <w:szCs w:val="20"/>
                <w:color w:val="auto"/>
              </w:rPr>
            </w:pPr>
            <w:r>
              <w:rPr>
                <w:rFonts w:ascii="Arial" w:cs="Arial" w:eastAsia="Arial" w:hAnsi="Arial"/>
                <w:sz w:val="14"/>
                <w:szCs w:val="14"/>
                <w:color w:val="auto"/>
              </w:rPr>
              <w:t>$ 17,415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60" w:type="dxa"/>
            <w:vAlign w:val="bottom"/>
          </w:tcPr>
          <w:p>
            <w:pPr>
              <w:jc w:val="center"/>
              <w:ind w:left="154"/>
              <w:spacing w:after="0"/>
              <w:rPr>
                <w:sz w:val="20"/>
                <w:szCs w:val="20"/>
                <w:color w:val="auto"/>
              </w:rPr>
            </w:pPr>
            <w:r>
              <w:rPr>
                <w:rFonts w:ascii="Arial" w:cs="Arial" w:eastAsia="Arial" w:hAnsi="Arial"/>
                <w:sz w:val="14"/>
                <w:szCs w:val="14"/>
                <w:color w:val="auto"/>
              </w:rPr>
              <w:t>223</w:t>
            </w:r>
          </w:p>
        </w:tc>
        <w:tc>
          <w:tcPr>
            <w:tcW w:w="480" w:type="dxa"/>
            <w:vAlign w:val="bottom"/>
            <w:gridSpan w:val="2"/>
          </w:tcPr>
          <w:p>
            <w:pPr>
              <w:ind w:left="400"/>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8"/>
              <w:spacing w:after="0"/>
              <w:rPr>
                <w:sz w:val="20"/>
                <w:szCs w:val="20"/>
                <w:color w:val="auto"/>
              </w:rPr>
            </w:pPr>
            <w:r>
              <w:rPr>
                <w:rFonts w:ascii="Arial" w:cs="Arial" w:eastAsia="Arial" w:hAnsi="Arial"/>
                <w:sz w:val="14"/>
                <w:szCs w:val="14"/>
                <w:color w:val="auto"/>
              </w:rPr>
              <w:t>— </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17,638</w:t>
            </w: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Marketable securities:</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3200" w:type="dxa"/>
            <w:vAlign w:val="bottom"/>
          </w:tcPr>
          <w:p>
            <w:pPr>
              <w:ind w:left="300"/>
              <w:spacing w:after="0"/>
              <w:rPr>
                <w:sz w:val="20"/>
                <w:szCs w:val="20"/>
                <w:color w:val="auto"/>
              </w:rPr>
            </w:pPr>
            <w:r>
              <w:rPr>
                <w:rFonts w:ascii="Arial" w:cs="Arial" w:eastAsia="Arial" w:hAnsi="Arial"/>
                <w:sz w:val="14"/>
                <w:szCs w:val="14"/>
                <w:color w:val="auto"/>
              </w:rPr>
              <w:t>U.S. treasury securities</w:t>
            </w:r>
          </w:p>
        </w:tc>
        <w:tc>
          <w:tcPr>
            <w:tcW w:w="1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97,559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left="174"/>
              <w:spacing w:after="0"/>
              <w:rPr>
                <w:sz w:val="20"/>
                <w:szCs w:val="20"/>
                <w:color w:val="auto"/>
              </w:rPr>
            </w:pPr>
            <w:r>
              <w:rPr>
                <w:rFonts w:ascii="Arial" w:cs="Arial" w:eastAsia="Arial" w:hAnsi="Arial"/>
                <w:sz w:val="14"/>
                <w:szCs w:val="14"/>
                <w:color w:val="auto"/>
                <w:w w:val="85"/>
              </w:rPr>
              <w:t>— </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88"/>
              <w:spacing w:after="0"/>
              <w:rPr>
                <w:sz w:val="20"/>
                <w:szCs w:val="20"/>
                <w:color w:val="auto"/>
              </w:rPr>
            </w:pPr>
            <w:r>
              <w:rPr>
                <w:rFonts w:ascii="Arial" w:cs="Arial" w:eastAsia="Arial" w:hAnsi="Arial"/>
                <w:sz w:val="14"/>
                <w:szCs w:val="14"/>
                <w:color w:val="auto"/>
              </w:rPr>
              <w:t>(48)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97,511</w:t>
            </w:r>
          </w:p>
        </w:tc>
      </w:tr>
      <w:tr>
        <w:trPr>
          <w:trHeight w:val="22"/>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32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w:t>
            </w:r>
          </w:p>
        </w:tc>
        <w:tc>
          <w:tcPr>
            <w:tcW w:w="13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114,974</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center"/>
              <w:ind w:left="154"/>
              <w:spacing w:after="0"/>
              <w:rPr>
                <w:sz w:val="20"/>
                <w:szCs w:val="20"/>
                <w:color w:val="auto"/>
              </w:rPr>
            </w:pPr>
            <w:r>
              <w:rPr>
                <w:rFonts w:ascii="Arial" w:cs="Arial" w:eastAsia="Arial" w:hAnsi="Arial"/>
                <w:sz w:val="14"/>
                <w:szCs w:val="14"/>
                <w:color w:val="auto"/>
              </w:rPr>
              <w:t>223</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115,149</w:t>
            </w:r>
          </w:p>
        </w:tc>
      </w:tr>
      <w:tr>
        <w:trPr>
          <w:trHeight w:val="20"/>
        </w:trPr>
        <w:tc>
          <w:tcPr>
            <w:tcW w:w="3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239" w:firstLine="353"/>
        <w:spacing w:after="0" w:line="252" w:lineRule="auto"/>
        <w:rPr>
          <w:sz w:val="20"/>
          <w:szCs w:val="20"/>
          <w:color w:val="auto"/>
        </w:rPr>
      </w:pPr>
      <w:r>
        <w:rPr>
          <w:rFonts w:ascii="Arial" w:cs="Arial" w:eastAsia="Arial" w:hAnsi="Arial"/>
          <w:sz w:val="14"/>
          <w:szCs w:val="14"/>
          <w:color w:val="auto"/>
        </w:rPr>
        <w:t>All of the Company’s available-for-sale debt securities as of March 31, 2026 and December 31, 2025 had a contractual maturity of less than 12 months. The Company did not realize any gains or losses recognized on the sale of available-for-sale debt securities during the three months ended March 31, 2026 and year ended December 31, 2025, and, as a result, the Company did not reclassify any amounts out of accumulated comprehensive loss. All of the Company’s available-for-sale debt securities as of March 31, 2026 and December 31, 2025 are classified as current as they mature within one year from the balance sheet date.</w:t>
      </w:r>
    </w:p>
    <w:p>
      <w:pPr>
        <w:spacing w:after="0" w:line="13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As of March 31, 2026, the Company held four securities in an unrealized loss position with an aggregate fair value of $113.7 million.</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As of December 31, 2025, the Company held three securities in an unrealized loss position with an aggregate fair value of $97.5 million.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None of the securities were in an unrealized loss position for greater than 12 months.</w:t>
      </w:r>
    </w:p>
    <w:p>
      <w:pPr>
        <w:spacing w:after="0" w:line="160"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The Company has the intent and ability to hold its debt securities until recovery of their amortized cost bases, which may be maturity. As a result, the Company did not recognize any differences between the fair value and amortized cost basis as a loss in its consolidated statements of operations and comprehensive loss for the three months ended March 31, 2026 and year ended December 31, 2025. The Company did not record any credit-related impairments for its available-for-sale debt securities for the three months ended March 31, 2026 and year ended December 31, 2025.</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159"/>
          </w:cols>
          <w:pgMar w:left="300" w:top="415"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5. Prepaid Expenses and Other Current Assets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Prepaid expenses and other current assets consisted of the following (in thousands):</w:t>
      </w:r>
    </w:p>
    <w:p>
      <w:pPr>
        <w:spacing w:after="0" w:line="194"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2"/>
                <w:szCs w:val="12"/>
                <w:b w:val="1"/>
                <w:bCs w:val="1"/>
                <w:color w:val="auto"/>
                <w:w w:val="94"/>
              </w:rPr>
              <w:t>As of March 31,</w:t>
            </w:r>
          </w:p>
        </w:tc>
        <w:tc>
          <w:tcPr>
            <w:tcW w:w="118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2026</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38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Prepaid expenses</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4,470</w:t>
            </w:r>
          </w:p>
        </w:tc>
        <w:tc>
          <w:tcPr>
            <w:tcW w:w="6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jc w:val="right"/>
              <w:ind w:right="73"/>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4,437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Other receivables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1,430</w:t>
            </w:r>
          </w:p>
        </w:tc>
        <w:tc>
          <w:tcPr>
            <w:tcW w:w="6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4"/>
                <w:szCs w:val="14"/>
                <w:color w:val="auto"/>
              </w:rPr>
              <w:t>5,900</w:t>
            </w:r>
          </w:p>
        </w:tc>
        <w:tc>
          <w:tcPr>
            <w:tcW w:w="28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7,066</w:t>
            </w: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6. Property and Equipment, net</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9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940" w:type="dxa"/>
            <w:vAlign w:val="bottom"/>
            <w:gridSpan w:val="2"/>
          </w:tcPr>
          <w:p>
            <w:pPr>
              <w:ind w:left="360"/>
              <w:spacing w:after="0"/>
              <w:rPr>
                <w:sz w:val="20"/>
                <w:szCs w:val="20"/>
                <w:color w:val="auto"/>
              </w:rPr>
            </w:pPr>
            <w:r>
              <w:rPr>
                <w:rFonts w:ascii="Arial" w:cs="Arial" w:eastAsia="Arial" w:hAnsi="Arial"/>
                <w:sz w:val="14"/>
                <w:szCs w:val="14"/>
                <w:color w:val="auto"/>
              </w:rPr>
              <w:t>Property and equipment, net, consisted of the following (in thousands):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10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Arial" w:cs="Arial" w:eastAsia="Arial" w:hAnsi="Arial"/>
                <w:sz w:val="12"/>
                <w:szCs w:val="12"/>
                <w:b w:val="1"/>
                <w:bCs w:val="1"/>
                <w:color w:val="auto"/>
              </w:rPr>
              <w:t>As of March 31,</w:t>
            </w:r>
          </w:p>
        </w:tc>
        <w:tc>
          <w:tcPr>
            <w:tcW w:w="1180" w:type="dxa"/>
            <w:vAlign w:val="bottom"/>
            <w:gridSpan w:val="4"/>
          </w:tcPr>
          <w:p>
            <w:pPr>
              <w:ind w:left="20"/>
              <w:spacing w:after="0"/>
              <w:rPr>
                <w:sz w:val="20"/>
                <w:szCs w:val="20"/>
                <w:color w:val="auto"/>
              </w:rPr>
            </w:pPr>
            <w:r>
              <w:rPr>
                <w:rFonts w:ascii="Arial" w:cs="Arial" w:eastAsia="Arial" w:hAnsi="Arial"/>
                <w:sz w:val="12"/>
                <w:szCs w:val="12"/>
                <w:b w:val="1"/>
                <w:bCs w:val="1"/>
                <w:color w:val="auto"/>
              </w:rPr>
              <w:t>As of December 31,</w:t>
            </w: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2"/>
                <w:szCs w:val="12"/>
                <w:color w:val="auto"/>
              </w:rPr>
            </w:pPr>
          </w:p>
        </w:tc>
        <w:tc>
          <w:tcPr>
            <w:tcW w:w="38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30"/>
              <w:spacing w:after="0"/>
              <w:rPr>
                <w:sz w:val="20"/>
                <w:szCs w:val="20"/>
                <w:color w:val="auto"/>
              </w:rPr>
            </w:pPr>
            <w:r>
              <w:rPr>
                <w:rFonts w:ascii="Arial" w:cs="Arial" w:eastAsia="Arial" w:hAnsi="Arial"/>
                <w:sz w:val="12"/>
                <w:szCs w:val="12"/>
                <w:b w:val="1"/>
                <w:bCs w:val="1"/>
                <w:color w:val="auto"/>
              </w:rPr>
              <w:t>2026</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2025</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60" w:type="dxa"/>
            <w:vAlign w:val="bottom"/>
          </w:tcPr>
          <w:p>
            <w:pPr>
              <w:spacing w:after="0"/>
              <w:rPr>
                <w:sz w:val="13"/>
                <w:szCs w:val="13"/>
                <w:color w:val="auto"/>
              </w:rPr>
            </w:pPr>
          </w:p>
        </w:tc>
        <w:tc>
          <w:tcPr>
            <w:tcW w:w="38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Laboratory equipment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887</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tcBorders>
              <w:left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775</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Furniture and fixtures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413</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Leasehold improvements</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w:t>
            </w:r>
          </w:p>
        </w:tc>
        <w:tc>
          <w:tcPr>
            <w:tcW w:w="60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Computer equipment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property and equipment, at cost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1,332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(796)</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060" w:type="dxa"/>
            <w:vAlign w:val="bottom"/>
          </w:tcPr>
          <w:p>
            <w:pPr>
              <w:spacing w:after="0"/>
              <w:rPr>
                <w:sz w:val="14"/>
                <w:szCs w:val="14"/>
                <w:color w:val="auto"/>
              </w:rPr>
            </w:pPr>
          </w:p>
        </w:tc>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Property and equipment, net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648</w:t>
            </w:r>
          </w:p>
        </w:tc>
        <w:tc>
          <w:tcPr>
            <w:tcW w:w="600" w:type="dxa"/>
            <w:vAlign w:val="bottom"/>
            <w:shd w:val="clear" w:color="auto" w:fill="CCEEFF"/>
          </w:tcPr>
          <w:p>
            <w:pPr>
              <w:spacing w:after="0"/>
              <w:rPr>
                <w:sz w:val="14"/>
                <w:szCs w:val="14"/>
                <w:color w:val="auto"/>
              </w:rPr>
            </w:pPr>
          </w:p>
        </w:tc>
        <w:tc>
          <w:tcPr>
            <w:tcW w:w="2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279"/>
        <w:spacing w:after="0" w:line="263" w:lineRule="auto"/>
        <w:rPr>
          <w:sz w:val="20"/>
          <w:szCs w:val="20"/>
          <w:color w:val="auto"/>
        </w:rPr>
      </w:pPr>
      <w:r>
        <w:rPr>
          <w:rFonts w:ascii="Arial" w:cs="Arial" w:eastAsia="Arial" w:hAnsi="Arial"/>
          <w:sz w:val="14"/>
          <w:szCs w:val="14"/>
          <w:color w:val="auto"/>
        </w:rPr>
        <w:t>As of March 31, 2026, there were no finance leased assets included in property and equipment, net. As of December 31, 2025, property and equipment, net included finance leased assets of approximately $0.5 million, with accumulated depreciation of approximately $0.3 million. Depreciation expense for the three months ended March 31, 2026 and 2025 was approximately $0.1 million.</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7. Accrued Expenses and Other Current Liabilities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Accrued expenses and other current liabilities consist of the following (in thousands):</w:t>
      </w:r>
    </w:p>
    <w:p>
      <w:pPr>
        <w:spacing w:after="0" w:line="194" w:lineRule="exact"/>
        <w:rPr>
          <w:sz w:val="20"/>
          <w:szCs w:val="20"/>
          <w:color w:val="auto"/>
        </w:rPr>
      </w:pPr>
    </w:p>
    <w:tbl>
      <w:tblPr>
        <w:tblLayout w:type="fixed"/>
        <w:tblInd w:w="228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w w:val="94"/>
              </w:rPr>
              <w:t>As of March 31,</w:t>
            </w:r>
          </w:p>
        </w:tc>
        <w:tc>
          <w:tcPr>
            <w:tcW w:w="64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w w:val="98"/>
              </w:rPr>
              <w:t>As of December 31,</w:t>
            </w:r>
          </w:p>
        </w:tc>
      </w:tr>
      <w:tr>
        <w:trPr>
          <w:trHeight w:val="138"/>
        </w:trPr>
        <w:tc>
          <w:tcPr>
            <w:tcW w:w="40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2026</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2"/>
                <w:szCs w:val="12"/>
                <w:color w:val="auto"/>
              </w:rPr>
            </w:pPr>
          </w:p>
        </w:tc>
      </w:tr>
      <w:tr>
        <w:trPr>
          <w:trHeight w:val="153"/>
        </w:trPr>
        <w:tc>
          <w:tcPr>
            <w:tcW w:w="40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Accrued contract research and development costs</w:t>
            </w:r>
          </w:p>
        </w:tc>
        <w:tc>
          <w:tcPr>
            <w:tcW w:w="180" w:type="dxa"/>
            <w:vAlign w:val="bottom"/>
            <w:shd w:val="clear" w:color="auto" w:fill="CCEEFF"/>
          </w:tcPr>
          <w:p>
            <w:pPr>
              <w:jc w:val="right"/>
              <w:ind w:right="33"/>
              <w:spacing w:after="0" w:line="153"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3,015</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949</w:t>
            </w:r>
          </w:p>
        </w:tc>
        <w:tc>
          <w:tcPr>
            <w:tcW w:w="40" w:type="dxa"/>
            <w:vAlign w:val="bottom"/>
            <w:shd w:val="clear" w:color="auto" w:fill="CCEEFF"/>
          </w:tcPr>
          <w:p>
            <w:pPr>
              <w:spacing w:after="0"/>
              <w:rPr>
                <w:sz w:val="13"/>
                <w:szCs w:val="13"/>
                <w:color w:val="auto"/>
              </w:rPr>
            </w:pPr>
          </w:p>
        </w:tc>
      </w:tr>
      <w:tr>
        <w:trPr>
          <w:trHeight w:val="162"/>
        </w:trPr>
        <w:tc>
          <w:tcPr>
            <w:tcW w:w="4080" w:type="dxa"/>
            <w:vAlign w:val="bottom"/>
          </w:tcPr>
          <w:p>
            <w:pPr>
              <w:spacing w:after="0"/>
              <w:rPr>
                <w:sz w:val="20"/>
                <w:szCs w:val="20"/>
                <w:color w:val="auto"/>
              </w:rPr>
            </w:pPr>
            <w:r>
              <w:rPr>
                <w:rFonts w:ascii="Arial" w:cs="Arial" w:eastAsia="Arial" w:hAnsi="Arial"/>
                <w:sz w:val="14"/>
                <w:szCs w:val="14"/>
                <w:color w:val="auto"/>
              </w:rPr>
              <w:t>Accrued employee compensation</w:t>
            </w:r>
          </w:p>
        </w:tc>
        <w:tc>
          <w:tcPr>
            <w:tcW w:w="1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1,286</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3,007</w:t>
            </w:r>
          </w:p>
        </w:tc>
      </w:tr>
      <w:tr>
        <w:trPr>
          <w:trHeight w:val="162"/>
        </w:trPr>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2,662</w:t>
            </w: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40" w:type="dxa"/>
            <w:vAlign w:val="bottom"/>
            <w:shd w:val="clear" w:color="auto" w:fill="CCEEFF"/>
          </w:tcPr>
          <w:p>
            <w:pPr>
              <w:spacing w:after="0"/>
              <w:rPr>
                <w:sz w:val="14"/>
                <w:szCs w:val="14"/>
                <w:color w:val="auto"/>
              </w:rPr>
            </w:pPr>
          </w:p>
        </w:tc>
      </w:tr>
      <w:tr>
        <w:trPr>
          <w:trHeight w:val="164"/>
        </w:trPr>
        <w:tc>
          <w:tcPr>
            <w:tcW w:w="4080" w:type="dxa"/>
            <w:vAlign w:val="bottom"/>
          </w:tcPr>
          <w:p>
            <w:pPr>
              <w:ind w:left="3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6,963</w:t>
            </w:r>
          </w:p>
        </w:tc>
        <w:tc>
          <w:tcPr>
            <w:tcW w:w="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4,296</w:t>
            </w:r>
          </w:p>
        </w:tc>
        <w:tc>
          <w:tcPr>
            <w:tcW w:w="40" w:type="dxa"/>
            <w:vAlign w:val="bottom"/>
          </w:tcPr>
          <w:p>
            <w:pPr>
              <w:spacing w:after="0"/>
              <w:rPr>
                <w:sz w:val="14"/>
                <w:szCs w:val="14"/>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6" w:lineRule="exact"/>
        <w:rPr>
          <w:sz w:val="20"/>
          <w:szCs w:val="20"/>
          <w:color w:val="auto"/>
        </w:rPr>
      </w:pPr>
    </w:p>
    <w:p>
      <w:pPr>
        <w:ind w:left="1220" w:right="6259" w:firstLine="9"/>
        <w:spacing w:after="0" w:line="371" w:lineRule="auto"/>
        <w:tabs>
          <w:tab w:leader="none" w:pos="138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License and Collaboration Agreements</w:t>
      </w:r>
    </w:p>
    <w:p>
      <w:pPr>
        <w:jc w:val="both"/>
        <w:ind w:left="1220" w:right="419" w:firstLine="353"/>
        <w:spacing w:after="0" w:line="263" w:lineRule="auto"/>
        <w:rPr>
          <w:sz w:val="20"/>
          <w:szCs w:val="20"/>
          <w:color w:val="auto"/>
        </w:rPr>
      </w:pPr>
      <w:r>
        <w:rPr>
          <w:rFonts w:ascii="Arial" w:cs="Arial" w:eastAsia="Arial" w:hAnsi="Arial"/>
          <w:sz w:val="14"/>
          <w:szCs w:val="14"/>
          <w:color w:val="auto"/>
        </w:rPr>
        <w:t>The Company is party to certain agreements that may require future payments upon the achievement of specified development, regulatory, and commercial milestones, as well as royalty payments. These potential obligations are not recorded as liabilities until the underlying milestone event is deemed probable of occurrence and the related amount is reasonably estimable.</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Agreement with Novo Nordisk</w:t>
      </w:r>
    </w:p>
    <w:p>
      <w:pPr>
        <w:spacing w:after="0" w:line="86"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In November 2019, the Company entered into a license agreement with Novo Nordisk A/S (“Novo Nordisk”), pursuant to which Novo Nordisk granted the Company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(“Novo Licensed Products”), containing bispecific IgG antibodies targeting TLT-1 and Factor VII, including sutacimig, for the treatment of bleeding conditions, including hemophilia (the “Novo Nordisk Agreement”). Under the terms of the Novo Nordisk Agreement, the Company has agreed to use commercially reasonable efforts to develop and commercialize a Novo Licensed Product.</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159"/>
          </w:cols>
          <w:pgMar w:left="300" w:top="415"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firstLine="353"/>
        <w:spacing w:after="0" w:line="248" w:lineRule="auto"/>
        <w:rPr>
          <w:sz w:val="20"/>
          <w:szCs w:val="20"/>
          <w:color w:val="auto"/>
        </w:rPr>
      </w:pPr>
      <w:r>
        <w:rPr>
          <w:rFonts w:ascii="Arial" w:cs="Arial" w:eastAsia="Arial" w:hAnsi="Arial"/>
          <w:sz w:val="14"/>
          <w:szCs w:val="14"/>
          <w:color w:val="auto"/>
        </w:rPr>
        <w:t>The Company is obligated to pay to Novo Nordisk a one-time DKK 40 million milestone payment upon achievement by a Novo Licensed Product of a specified regulatory milestone event, and the Company is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The Company currently expects that all of the licensed patents under the Novo Nordisk Agreement will expire by 2040, potentially extending to 2045 with patent term extension. To date, the Company has not made any payments to Novo Nordisk under the Novo Nordisk Agreement.</w:t>
      </w:r>
    </w:p>
    <w:p>
      <w:pPr>
        <w:spacing w:after="0" w:line="141" w:lineRule="exact"/>
        <w:rPr>
          <w:sz w:val="20"/>
          <w:szCs w:val="20"/>
          <w:color w:val="auto"/>
        </w:rPr>
      </w:pPr>
    </w:p>
    <w:p>
      <w:pPr>
        <w:ind w:left="1220" w:right="279" w:firstLine="353"/>
        <w:spacing w:after="0" w:line="252" w:lineRule="auto"/>
        <w:rPr>
          <w:sz w:val="20"/>
          <w:szCs w:val="20"/>
          <w:color w:val="auto"/>
        </w:rPr>
      </w:pPr>
      <w:r>
        <w:rPr>
          <w:rFonts w:ascii="Arial" w:cs="Arial" w:eastAsia="Arial" w:hAnsi="Arial"/>
          <w:sz w:val="14"/>
          <w:szCs w:val="14"/>
          <w:color w:val="auto"/>
        </w:rPr>
        <w:t>The Novo Nordisk Agreement will continue in force until it is terminated. On expiration of each royalty term, the Company’s license becomes royalty-free, perpetual, and irrevocable with respect to the applicable Novo Licensed Product in the applicable country. Either party may terminate the Novo Nordisk Agreement for the other party’s uncured material breach or insolvency. The Company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228"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Agreement with Genmab</w:t>
      </w:r>
    </w:p>
    <w:p>
      <w:pPr>
        <w:spacing w:after="0" w:line="86"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In April 2020, the Company entered into a license agreement with Genmab A/S (“Genmab”), pursuant to which Genmab granted the Company an exclusive (even as to Genmab and its affiliates), worldwide and sublicensable license under platform technology patent rights and know-how relating to Genmab’s proprietary DuoBody</w:t>
      </w:r>
      <w:r>
        <w:rPr>
          <w:rFonts w:ascii="Arial" w:cs="Arial" w:eastAsia="Arial" w:hAnsi="Arial"/>
          <w:sz w:val="8"/>
          <w:szCs w:val="8"/>
          <w:color w:val="auto"/>
        </w:rPr>
        <w:t>®</w:t>
      </w:r>
      <w:r>
        <w:rPr>
          <w:rFonts w:ascii="Arial" w:cs="Arial" w:eastAsia="Arial" w:hAnsi="Arial"/>
          <w:sz w:val="14"/>
          <w:szCs w:val="14"/>
          <w:color w:val="auto"/>
        </w:rPr>
        <w:t xml:space="preserve"> platform to research, develop, make, have made, use, manufacture, import, export and commercialize products comprising bispecific IgG antibodies targeting TLT-1 and Factor VII (the “TLT-1/Factor VII Antibody Products”), including sutacimig, for the treatment of bleeding conditions, including hemophilia (the “Genmab Agreement”). Under the terms of the Genmab Agreement, the Company has agreed to use commercially reasonable efforts to develop, manufacture, obtain regulatory approval for and commercialize TLT-1/Factor VII Antibody Products worldwide.</w:t>
      </w:r>
    </w:p>
    <w:p>
      <w:pPr>
        <w:spacing w:after="0" w:line="140"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Under the Genmab Agreement, the Company is obligated to pay Genmab a percentage of all net profit (i.e., revenue and other proceeds less specified direct costs the Company incurs to conduct research, development, manufacture and commercialization of TLT-1/Factor VII Antibody Products) the Company or its affiliates receive with respect to any TLT-1/Factor VII Antibody Products, including</w:t>
      </w:r>
    </w:p>
    <w:p>
      <w:pPr>
        <w:spacing w:after="0" w:line="2" w:lineRule="exact"/>
        <w:rPr>
          <w:sz w:val="20"/>
          <w:szCs w:val="20"/>
          <w:color w:val="auto"/>
        </w:rPr>
      </w:pPr>
    </w:p>
    <w:p>
      <w:pPr>
        <w:ind w:left="1220" w:right="119" w:firstLine="9"/>
        <w:spacing w:after="0" w:line="243" w:lineRule="auto"/>
        <w:tabs>
          <w:tab w:leader="none" w:pos="1436"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the Company or its affiliates receive if the Company undergoes a change of control (other than an acquisition by Novo Nordisk). The percentage of net profit the Company owes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the Company owes with respect to such TLT-1/Factor VII Antibody Product is in the high single digits in all territories in which the Company commercializes such TLT-1/Factor VII Antibody Product and in the mid-teens in all territories in which a third party, other than Novo Nordisk, commercializes such TLT-1/Factor VII Antibody Product. The Company is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the Company refers to as the net profit share term. Following the expiration of the last-to-expire of the platform technology patent rights licensed under the Genmab Agreement covering a given TLT-1/Factor VII Antibody Product in a given country, the percentage of net profit that the Company is obligated to pay with respect to sales of such TLT-1/Factor VII Antibody Product in such country will be reduced by a specified percentage for the remainder of the net profit share term for such TLT-1/Factor VII Antibody Product in such country. The Company currently expects that all of the platform technology patent rights licensed under the Genmab Agreement will expire by 2032, though this date may be extended if, for example, Genmab files additional patents covering its platform technology. To date, the Company has not made any payments to Genmab under the Genmab Agreement.</w:t>
      </w:r>
    </w:p>
    <w:p>
      <w:pPr>
        <w:spacing w:after="0" w:line="308" w:lineRule="exact"/>
        <w:rPr>
          <w:sz w:val="20"/>
          <w:szCs w:val="20"/>
          <w:color w:val="auto"/>
        </w:rPr>
      </w:pPr>
    </w:p>
    <w:p>
      <w:pPr>
        <w:ind w:left="1220" w:right="379" w:firstLine="353"/>
        <w:spacing w:after="0" w:line="263" w:lineRule="auto"/>
        <w:rPr>
          <w:sz w:val="20"/>
          <w:szCs w:val="20"/>
          <w:color w:val="auto"/>
        </w:rPr>
      </w:pPr>
      <w:r>
        <w:rPr>
          <w:rFonts w:ascii="Arial" w:cs="Arial" w:eastAsia="Arial" w:hAnsi="Arial"/>
          <w:sz w:val="14"/>
          <w:szCs w:val="14"/>
          <w:color w:val="auto"/>
        </w:rPr>
        <w:t xml:space="preserve">In the event the Company seeks to sell, license or otherwise dispose of its rights to TLT-1/Factor VII Antibody Products, including through a change of control to any third party other than Novo Nordisk, the Company is obligated to provide Genmab the right to participate in any bidding process 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potential acquirer of such rights.</w:t>
      </w:r>
    </w:p>
    <w:p>
      <w:pPr>
        <w:spacing w:after="0" w:line="131" w:lineRule="exact"/>
        <w:rPr>
          <w:sz w:val="20"/>
          <w:szCs w:val="20"/>
          <w:color w:val="auto"/>
        </w:rPr>
      </w:pPr>
    </w:p>
    <w:p>
      <w:pPr>
        <w:ind w:left="1220" w:right="239" w:firstLine="353"/>
        <w:spacing w:after="0" w:line="285" w:lineRule="auto"/>
        <w:rPr>
          <w:sz w:val="20"/>
          <w:szCs w:val="20"/>
          <w:color w:val="auto"/>
        </w:rPr>
      </w:pPr>
      <w:r>
        <w:rPr>
          <w:rFonts w:ascii="Arial" w:cs="Arial" w:eastAsia="Arial" w:hAnsi="Arial"/>
          <w:sz w:val="14"/>
          <w:szCs w:val="14"/>
          <w:color w:val="auto"/>
        </w:rPr>
        <w:t>Unless earlier terminated, the Genmab Agreement will expire, on a TLT-1/Factor VII Antibody Product-by-TLT-1/Factor VII Antibody Product and country-by-country basis, upon the expiration of the last net profit share term for such</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159"/>
          </w:cols>
          <w:pgMar w:left="300" w:top="415"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both"/>
        <w:ind w:left="1220" w:right="119"/>
        <w:spacing w:after="0" w:line="248" w:lineRule="auto"/>
        <w:rPr>
          <w:sz w:val="20"/>
          <w:szCs w:val="20"/>
          <w:color w:val="auto"/>
        </w:rPr>
      </w:pPr>
      <w:r>
        <w:rPr>
          <w:rFonts w:ascii="Arial" w:cs="Arial" w:eastAsia="Arial" w:hAnsi="Arial"/>
          <w:sz w:val="14"/>
          <w:szCs w:val="14"/>
          <w:color w:val="auto"/>
        </w:rPr>
        <w:t>TLT-1/Factor VII Antibody Product in such country. On expiration of each net profit share term, the Company’s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w:t>
      </w:r>
    </w:p>
    <w:p>
      <w:pPr>
        <w:spacing w:after="0" w:line="2" w:lineRule="exact"/>
        <w:rPr>
          <w:sz w:val="20"/>
          <w:szCs w:val="20"/>
          <w:color w:val="auto"/>
        </w:rPr>
      </w:pPr>
    </w:p>
    <w:p>
      <w:pPr>
        <w:ind w:left="1220" w:right="119"/>
        <w:spacing w:after="0" w:line="247" w:lineRule="auto"/>
        <w:rPr>
          <w:sz w:val="20"/>
          <w:szCs w:val="20"/>
          <w:color w:val="auto"/>
        </w:rPr>
      </w:pPr>
      <w:r>
        <w:rPr>
          <w:rFonts w:ascii="Arial" w:cs="Arial" w:eastAsia="Arial" w:hAnsi="Arial"/>
          <w:sz w:val="14"/>
          <w:szCs w:val="14"/>
          <w:color w:val="auto"/>
        </w:rPr>
        <w:t>Genmab may terminate the Genmab Agreement if the Company or its affiliates or sublicensees challenge any of the platform technology patent rights licensed under the Genmab Agreement. The Company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86"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March 31, 2026 and December 31, 2025.</w:t>
      </w:r>
    </w:p>
    <w:p>
      <w:pPr>
        <w:spacing w:after="0" w:line="396"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86" w:lineRule="exact"/>
        <w:rPr>
          <w:sz w:val="20"/>
          <w:szCs w:val="20"/>
          <w:color w:val="auto"/>
        </w:rPr>
      </w:pPr>
    </w:p>
    <w:p>
      <w:pPr>
        <w:jc w:val="both"/>
        <w:ind w:left="1220" w:right="199" w:firstLine="353"/>
        <w:spacing w:after="0" w:line="263" w:lineRule="auto"/>
        <w:rPr>
          <w:sz w:val="20"/>
          <w:szCs w:val="20"/>
          <w:color w:val="auto"/>
        </w:rPr>
      </w:pPr>
      <w:r>
        <w:rPr>
          <w:rFonts w:ascii="Arial" w:cs="Arial" w:eastAsia="Arial" w:hAnsi="Arial"/>
          <w:sz w:val="14"/>
          <w:szCs w:val="14"/>
          <w:color w:val="auto"/>
        </w:rPr>
        <w:t>The Company, from time to time, may be party to litigation arising in the ordinary course of business. The Company was not subject to any material legal proceedings during the three months ended March 31, 2026 and year ended December 31, 2025 and, to the best of its knowledge, no material legal proceedings are currently pending or threatened.</w:t>
      </w:r>
    </w:p>
    <w:p>
      <w:pPr>
        <w:spacing w:after="0" w:line="217" w:lineRule="exact"/>
        <w:rPr>
          <w:sz w:val="20"/>
          <w:szCs w:val="20"/>
          <w:color w:val="auto"/>
        </w:rPr>
      </w:pPr>
    </w:p>
    <w:p>
      <w:pPr>
        <w:ind w:left="1220" w:right="4419" w:firstLine="9"/>
        <w:spacing w:after="0" w:line="370" w:lineRule="auto"/>
        <w:tabs>
          <w:tab w:leader="none" w:pos="13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Convertible Preferred Stock and Convertible Preference Shares </w:t>
      </w:r>
      <w:r>
        <w:rPr>
          <w:rFonts w:ascii="Arial" w:cs="Arial" w:eastAsia="Arial" w:hAnsi="Arial"/>
          <w:sz w:val="14"/>
          <w:szCs w:val="14"/>
          <w:b w:val="1"/>
          <w:bCs w:val="1"/>
          <w:i w:val="1"/>
          <w:iCs w:val="1"/>
          <w:color w:val="auto"/>
        </w:rPr>
        <w:t>Series Seed Convertible Preference Shares</w:t>
      </w:r>
    </w:p>
    <w:p>
      <w:pPr>
        <w:spacing w:after="0" w:line="1" w:lineRule="exact"/>
        <w:rPr>
          <w:sz w:val="20"/>
          <w:szCs w:val="20"/>
          <w:color w:val="auto"/>
        </w:rPr>
      </w:pPr>
    </w:p>
    <w:p>
      <w:pPr>
        <w:ind w:left="1220" w:right="239" w:firstLine="353"/>
        <w:spacing w:after="0" w:line="284" w:lineRule="auto"/>
        <w:rPr>
          <w:sz w:val="20"/>
          <w:szCs w:val="20"/>
          <w:color w:val="auto"/>
        </w:rPr>
      </w:pPr>
      <w:r>
        <w:rPr>
          <w:rFonts w:ascii="Arial" w:cs="Arial" w:eastAsia="Arial" w:hAnsi="Arial"/>
          <w:sz w:val="14"/>
          <w:szCs w:val="14"/>
          <w:color w:val="auto"/>
        </w:rPr>
        <w:t xml:space="preserve">In November 2020, the Company executed an investment agreement under which it issued and sold 23,343 shares of Series Seed convertible preference shares (“Series Seed Convertible Preference Shares”) for gross cash proceeds of </w:t>
      </w:r>
      <w:r>
        <w:rPr>
          <w:rFonts w:ascii="Times New Roman" w:cs="Times New Roman" w:eastAsia="Times New Roman" w:hAnsi="Times New Roman"/>
          <w:sz w:val="14"/>
          <w:szCs w:val="14"/>
          <w:color w:val="auto"/>
        </w:rPr>
        <w:t>€</w:t>
      </w:r>
      <w:r>
        <w:rPr>
          <w:rFonts w:ascii="Arial" w:cs="Arial" w:eastAsia="Arial" w:hAnsi="Arial"/>
          <w:sz w:val="14"/>
          <w:szCs w:val="14"/>
          <w:color w:val="auto"/>
        </w:rPr>
        <w:t>2.5 million ($3.0 million).</w:t>
      </w:r>
    </w:p>
    <w:p>
      <w:pPr>
        <w:spacing w:after="0" w:line="21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Series A Convertible Preference Shares</w:t>
      </w:r>
    </w:p>
    <w:p>
      <w:pPr>
        <w:spacing w:after="0" w:line="86" w:lineRule="exact"/>
        <w:rPr>
          <w:sz w:val="20"/>
          <w:szCs w:val="20"/>
          <w:color w:val="auto"/>
        </w:rPr>
      </w:pPr>
    </w:p>
    <w:p>
      <w:pPr>
        <w:ind w:left="1220" w:right="299" w:firstLine="353"/>
        <w:spacing w:after="0" w:line="252" w:lineRule="auto"/>
        <w:rPr>
          <w:sz w:val="20"/>
          <w:szCs w:val="20"/>
          <w:color w:val="auto"/>
        </w:rPr>
      </w:pPr>
      <w:r>
        <w:rPr>
          <w:rFonts w:ascii="Arial" w:cs="Arial" w:eastAsia="Arial" w:hAnsi="Arial"/>
          <w:sz w:val="14"/>
          <w:szCs w:val="14"/>
          <w:color w:val="auto"/>
        </w:rPr>
        <w:t>In July 2021, the Company executed an investment agreement (“Series A Investment Agreement”) to issue and sell up to 225,866 shares of Series A convertible preference shares (“Series A Convertible Preference Shares”) for gross proceeds of up to DKK</w:t>
      </w:r>
    </w:p>
    <w:p>
      <w:pPr>
        <w:spacing w:after="0" w:line="1" w:lineRule="exact"/>
        <w:rPr>
          <w:sz w:val="20"/>
          <w:szCs w:val="20"/>
          <w:color w:val="auto"/>
        </w:rPr>
      </w:pPr>
    </w:p>
    <w:p>
      <w:pPr>
        <w:ind w:left="1220" w:right="179"/>
        <w:spacing w:after="0" w:line="245" w:lineRule="auto"/>
        <w:rPr>
          <w:sz w:val="20"/>
          <w:szCs w:val="20"/>
          <w:color w:val="auto"/>
        </w:rPr>
      </w:pPr>
      <w:r>
        <w:rPr>
          <w:rFonts w:ascii="Arial" w:cs="Arial" w:eastAsia="Arial" w:hAnsi="Arial"/>
          <w:sz w:val="14"/>
          <w:szCs w:val="14"/>
          <w:color w:val="auto"/>
        </w:rPr>
        <w:t>346.4 million ($50.9 million). In the initial closing in July 2021, the Company issued 61,600 shares of Series A Convertible Preference Shares. This included DKK 57.2 million ($9.0 million) in gross cash proceeds (37,297 shares) and DKK 37.3 million ($5.9 million) from the conversion of the principal and interest balance of debt (24,303 shares). Pursuant to the Series A Investment Agreement, the Company was obligated to issue and the investors were obligated to purchase an additional 164,266 shares of Series A Convertible Preference Shares for total cash proceeds of DKK 251.9 million ($36.0 million) in three separate closings upon the satisfaction of certain conditions related to clinical development. All of the conditions were achieved prior to February 2023. The Company incurred DKK 1.8 million ($0.3 million) of issuance costs.</w:t>
      </w: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Series B Convertible Preference Shares</w:t>
      </w:r>
    </w:p>
    <w:p>
      <w:pPr>
        <w:spacing w:after="0" w:line="86" w:lineRule="exact"/>
        <w:rPr>
          <w:sz w:val="20"/>
          <w:szCs w:val="20"/>
          <w:color w:val="auto"/>
        </w:rPr>
      </w:pPr>
    </w:p>
    <w:p>
      <w:pPr>
        <w:ind w:left="1220" w:right="499" w:firstLine="353"/>
        <w:spacing w:after="0" w:line="263" w:lineRule="auto"/>
        <w:rPr>
          <w:sz w:val="20"/>
          <w:szCs w:val="20"/>
          <w:color w:val="auto"/>
        </w:rPr>
      </w:pPr>
      <w:r>
        <w:rPr>
          <w:rFonts w:ascii="Arial" w:cs="Arial" w:eastAsia="Arial" w:hAnsi="Arial"/>
          <w:sz w:val="14"/>
          <w:szCs w:val="14"/>
          <w:color w:val="auto"/>
        </w:rPr>
        <w:t>In February 2023, the Company executed an investment agreement under which it issued and sold 442,205 shares of Series B convertible preference shares (“Series B Convertible Preference Shares”) for gross cash proceeds of $135.2 million. The Company incurred $0.3 million of issuance costs.</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Series C Convertible Preference Shares</w:t>
      </w:r>
    </w:p>
    <w:p>
      <w:pPr>
        <w:spacing w:after="0" w:line="86" w:lineRule="exact"/>
        <w:rPr>
          <w:sz w:val="20"/>
          <w:szCs w:val="20"/>
          <w:color w:val="auto"/>
        </w:rPr>
      </w:pPr>
    </w:p>
    <w:p>
      <w:pPr>
        <w:jc w:val="both"/>
        <w:ind w:left="1220" w:right="559" w:firstLine="353"/>
        <w:spacing w:after="0" w:line="263" w:lineRule="auto"/>
        <w:rPr>
          <w:sz w:val="20"/>
          <w:szCs w:val="20"/>
          <w:color w:val="auto"/>
        </w:rPr>
      </w:pPr>
      <w:r>
        <w:rPr>
          <w:rFonts w:ascii="Arial" w:cs="Arial" w:eastAsia="Arial" w:hAnsi="Arial"/>
          <w:sz w:val="14"/>
          <w:szCs w:val="14"/>
          <w:color w:val="auto"/>
        </w:rPr>
        <w:t>In October 2025, the Company executed an investment agreement under which it issued and sold 512,991 shares of Series C convertible preference shares (“Series C Convertible Preference Shares”) for gross cash proceeds of $156.9 million. The Company incurred $0.5 million of issuance costs.</w:t>
      </w:r>
    </w:p>
    <w:p>
      <w:pPr>
        <w:spacing w:after="0" w:line="131" w:lineRule="exact"/>
        <w:rPr>
          <w:sz w:val="20"/>
          <w:szCs w:val="20"/>
          <w:color w:val="auto"/>
        </w:rPr>
      </w:pPr>
    </w:p>
    <w:p>
      <w:pPr>
        <w:ind w:left="1220" w:right="279" w:firstLine="353"/>
        <w:spacing w:after="0" w:line="263" w:lineRule="auto"/>
        <w:rPr>
          <w:sz w:val="20"/>
          <w:szCs w:val="20"/>
          <w:color w:val="auto"/>
        </w:rPr>
      </w:pPr>
      <w:r>
        <w:rPr>
          <w:rFonts w:ascii="Arial" w:cs="Arial" w:eastAsia="Arial" w:hAnsi="Arial"/>
          <w:sz w:val="14"/>
          <w:szCs w:val="14"/>
          <w:color w:val="auto"/>
        </w:rPr>
        <w:t>In connection with the corporate reorganization, the shareholders of Hemab ApS exchanged their convertible preference shares of Hemab ApS for the same number, class and series of newly issued shares of convertible preferred stock, on a one-for-one basis, in Hemab Therapeutic Holdings, Inc.</w:t>
      </w:r>
    </w:p>
    <w:p>
      <w:pPr>
        <w:spacing w:after="0" w:line="131" w:lineRule="exact"/>
        <w:rPr>
          <w:sz w:val="20"/>
          <w:szCs w:val="20"/>
          <w:color w:val="auto"/>
        </w:rPr>
      </w:pPr>
    </w:p>
    <w:p>
      <w:pPr>
        <w:ind w:left="1220" w:right="319" w:firstLine="353"/>
        <w:spacing w:after="0" w:line="285" w:lineRule="auto"/>
        <w:rPr>
          <w:sz w:val="20"/>
          <w:szCs w:val="20"/>
          <w:color w:val="auto"/>
        </w:rPr>
      </w:pPr>
      <w:r>
        <w:rPr>
          <w:rFonts w:ascii="Arial" w:cs="Arial" w:eastAsia="Arial" w:hAnsi="Arial"/>
          <w:sz w:val="14"/>
          <w:szCs w:val="14"/>
          <w:color w:val="auto"/>
        </w:rPr>
        <w:t>As of March 31, 2026 and December 31, 2025, the convertible preferred stock and convertible preference shares consisted of the following (in thousands, except share data):</w:t>
      </w:r>
    </w:p>
    <w:p>
      <w:pPr>
        <w:spacing w:after="0" w:line="144"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2"/>
                <w:szCs w:val="12"/>
                <w:b w:val="1"/>
                <w:bCs w:val="1"/>
                <w:color w:val="auto"/>
                <w:w w:val="95"/>
              </w:rPr>
              <w:t>March 31, 2026</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2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2"/>
          </w:tcPr>
          <w:p>
            <w:pPr>
              <w:jc w:val="center"/>
              <w:ind w:right="80"/>
              <w:spacing w:after="0" w:line="113" w:lineRule="exact"/>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6"/>
              </w:rPr>
              <w:t>Common</w:t>
            </w:r>
          </w:p>
        </w:tc>
        <w:tc>
          <w:tcPr>
            <w:tcW w:w="40" w:type="dxa"/>
            <w:vAlign w:val="bottom"/>
          </w:tcPr>
          <w:p>
            <w:pPr>
              <w:spacing w:after="0"/>
              <w:rPr>
                <w:sz w:val="9"/>
                <w:szCs w:val="9"/>
                <w:color w:val="auto"/>
              </w:rPr>
            </w:pPr>
          </w:p>
        </w:tc>
      </w:tr>
      <w:tr>
        <w:trPr>
          <w:trHeight w:val="130"/>
        </w:trPr>
        <w:tc>
          <w:tcPr>
            <w:tcW w:w="2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7"/>
              </w:rPr>
              <w:t>Preferred</w:t>
            </w:r>
          </w:p>
        </w:tc>
        <w:tc>
          <w:tcPr>
            <w:tcW w:w="78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4"/>
              </w:rPr>
              <w:t>Stock Issued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Stock Issuable</w:t>
            </w:r>
          </w:p>
        </w:tc>
      </w:tr>
      <w:tr>
        <w:trPr>
          <w:trHeight w:val="130"/>
        </w:trPr>
        <w:tc>
          <w:tcPr>
            <w:tcW w:w="25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2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7"/>
              </w:rPr>
              <w:t>Stock</w:t>
            </w:r>
          </w:p>
        </w:tc>
        <w:tc>
          <w:tcPr>
            <w:tcW w:w="780" w:type="dxa"/>
            <w:vAlign w:val="bottom"/>
            <w:gridSpan w:val="2"/>
          </w:tcPr>
          <w:p>
            <w:pPr>
              <w:jc w:val="center"/>
              <w:ind w:right="60"/>
              <w:spacing w:after="0" w:line="130" w:lineRule="exact"/>
              <w:rPr>
                <w:sz w:val="20"/>
                <w:szCs w:val="20"/>
                <w:color w:val="auto"/>
              </w:rPr>
            </w:pPr>
            <w:r>
              <w:rPr>
                <w:rFonts w:ascii="Arial" w:cs="Arial" w:eastAsia="Arial" w:hAnsi="Arial"/>
                <w:sz w:val="12"/>
                <w:szCs w:val="12"/>
                <w:b w:val="1"/>
                <w:bCs w:val="1"/>
                <w:color w:val="auto"/>
                <w:w w:val="93"/>
              </w:rPr>
              <w:t>and</w:t>
            </w:r>
          </w:p>
        </w:tc>
        <w:tc>
          <w:tcPr>
            <w:tcW w:w="140" w:type="dxa"/>
            <w:vAlign w:val="bottom"/>
          </w:tcPr>
          <w:p>
            <w:pPr>
              <w:spacing w:after="0"/>
              <w:rPr>
                <w:sz w:val="11"/>
                <w:szCs w:val="11"/>
                <w:color w:val="auto"/>
              </w:rPr>
            </w:pPr>
          </w:p>
        </w:tc>
        <w:tc>
          <w:tcPr>
            <w:tcW w:w="840" w:type="dxa"/>
            <w:vAlign w:val="bottom"/>
            <w:gridSpan w:val="3"/>
          </w:tcPr>
          <w:p>
            <w:pPr>
              <w:jc w:val="center"/>
              <w:ind w:right="200"/>
              <w:spacing w:after="0" w:line="130" w:lineRule="exact"/>
              <w:rPr>
                <w:sz w:val="20"/>
                <w:szCs w:val="20"/>
                <w:color w:val="auto"/>
              </w:rPr>
            </w:pPr>
            <w:r>
              <w:rPr>
                <w:rFonts w:ascii="Arial" w:cs="Arial" w:eastAsia="Arial" w:hAnsi="Arial"/>
                <w:sz w:val="12"/>
                <w:szCs w:val="12"/>
                <w:b w:val="1"/>
                <w:bCs w:val="1"/>
                <w:color w:val="auto"/>
                <w:w w:val="97"/>
              </w:rPr>
              <w:t>Carrying</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Liquidation</w:t>
            </w:r>
          </w:p>
        </w:tc>
        <w:tc>
          <w:tcPr>
            <w:tcW w:w="86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Upon</w:t>
            </w:r>
          </w:p>
        </w:tc>
      </w:tr>
      <w:tr>
        <w:trPr>
          <w:trHeight w:val="138"/>
        </w:trPr>
        <w:tc>
          <w:tcPr>
            <w:tcW w:w="25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Authorized</w:t>
            </w:r>
          </w:p>
        </w:tc>
        <w:tc>
          <w:tcPr>
            <w:tcW w:w="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Value</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Preference</w:t>
            </w:r>
          </w:p>
        </w:tc>
        <w:tc>
          <w:tcPr>
            <w:tcW w:w="86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3"/>
              </w:rPr>
              <w:t>Conversion</w:t>
            </w:r>
          </w:p>
        </w:tc>
      </w:tr>
      <w:tr>
        <w:trPr>
          <w:trHeight w:val="153"/>
        </w:trPr>
        <w:tc>
          <w:tcPr>
            <w:tcW w:w="256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Series Seed</w:t>
            </w:r>
          </w:p>
        </w:tc>
        <w:tc>
          <w:tcPr>
            <w:tcW w:w="19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23,343</w:t>
            </w:r>
          </w:p>
        </w:tc>
        <w:tc>
          <w:tcPr>
            <w:tcW w:w="2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23,343</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5,236</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3,126</w:t>
            </w:r>
          </w:p>
        </w:tc>
        <w:tc>
          <w:tcPr>
            <w:tcW w:w="2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513,546</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Series A</w:t>
            </w:r>
          </w:p>
        </w:tc>
        <w:tc>
          <w:tcPr>
            <w:tcW w:w="2820" w:type="dxa"/>
            <w:vAlign w:val="bottom"/>
            <w:gridSpan w:val="3"/>
          </w:tcPr>
          <w:p>
            <w:pPr>
              <w:jc w:val="right"/>
              <w:ind w:right="220"/>
              <w:spacing w:after="0"/>
              <w:rPr>
                <w:sz w:val="20"/>
                <w:szCs w:val="20"/>
                <w:color w:val="auto"/>
              </w:rPr>
            </w:pPr>
            <w:r>
              <w:rPr>
                <w:rFonts w:ascii="Arial" w:cs="Arial" w:eastAsia="Arial" w:hAnsi="Arial"/>
                <w:sz w:val="14"/>
                <w:szCs w:val="14"/>
                <w:color w:val="auto"/>
              </w:rPr>
              <w:t>225,866</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225,866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63,536</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53,392</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4,969,052</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Series B</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442,205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442,205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134,975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135,248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9,728,510</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Series C</w:t>
            </w:r>
          </w:p>
        </w:tc>
        <w:tc>
          <w:tcPr>
            <w:tcW w:w="19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512,991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512,991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156,421</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156,898</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11,285,802</w:t>
            </w:r>
          </w:p>
        </w:tc>
      </w:tr>
      <w:tr>
        <w:trPr>
          <w:trHeight w:val="22"/>
        </w:trPr>
        <w:tc>
          <w:tcPr>
            <w:tcW w:w="2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256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1,204,405</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1,204,405</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360,068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348,664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26,496,910</w:t>
            </w:r>
          </w:p>
        </w:tc>
        <w:tc>
          <w:tcPr>
            <w:tcW w:w="40" w:type="dxa"/>
            <w:vAlign w:val="bottom"/>
            <w:shd w:val="clear" w:color="auto" w:fill="CCEEFF"/>
          </w:tcPr>
          <w:p>
            <w:pPr>
              <w:spacing w:after="0"/>
              <w:rPr>
                <w:sz w:val="14"/>
                <w:szCs w:val="14"/>
                <w:color w:val="auto"/>
              </w:rPr>
            </w:pPr>
          </w:p>
        </w:tc>
      </w:tr>
      <w:tr>
        <w:trPr>
          <w:trHeight w:val="20"/>
        </w:trPr>
        <w:tc>
          <w:tcPr>
            <w:tcW w:w="2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8"/>
        </w:trPr>
        <w:tc>
          <w:tcPr>
            <w:tcW w:w="2560" w:type="dxa"/>
            <w:vAlign w:val="bottom"/>
          </w:tcPr>
          <w:p>
            <w:pPr>
              <w:spacing w:after="0"/>
              <w:rPr>
                <w:sz w:val="24"/>
                <w:szCs w:val="24"/>
                <w:color w:val="auto"/>
              </w:rPr>
            </w:pPr>
          </w:p>
        </w:tc>
        <w:tc>
          <w:tcPr>
            <w:tcW w:w="2600" w:type="dxa"/>
            <w:vAlign w:val="bottom"/>
            <w:gridSpan w:val="2"/>
          </w:tcPr>
          <w:p>
            <w:pPr>
              <w:jc w:val="right"/>
              <w:ind w:right="595"/>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159"/>
          </w:cols>
          <w:pgMar w:left="300" w:top="415"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9"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2"/>
                <w:szCs w:val="12"/>
                <w:b w:val="1"/>
                <w:bCs w:val="1"/>
                <w:color w:val="auto"/>
              </w:rPr>
              <w:t>December 31, 2025</w:t>
            </w: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4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gridSpan w:val="2"/>
          </w:tcPr>
          <w:p>
            <w:pPr>
              <w:jc w:val="center"/>
              <w:ind w:right="200"/>
              <w:spacing w:after="0" w:line="113" w:lineRule="exact"/>
              <w:rPr>
                <w:sz w:val="20"/>
                <w:szCs w:val="20"/>
                <w:color w:val="auto"/>
              </w:rPr>
            </w:pPr>
            <w:r>
              <w:rPr>
                <w:rFonts w:ascii="Arial" w:cs="Arial" w:eastAsia="Arial" w:hAnsi="Arial"/>
                <w:sz w:val="12"/>
                <w:szCs w:val="12"/>
                <w:b w:val="1"/>
                <w:bCs w:val="1"/>
                <w:color w:val="auto"/>
                <w:w w:val="96"/>
              </w:rPr>
              <w:t>Preference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5"/>
              </w:rPr>
              <w:t>Ordinary</w:t>
            </w:r>
          </w:p>
        </w:tc>
        <w:tc>
          <w:tcPr>
            <w:tcW w:w="40" w:type="dxa"/>
            <w:vAlign w:val="bottom"/>
          </w:tcPr>
          <w:p>
            <w:pPr>
              <w:spacing w:after="0"/>
              <w:rPr>
                <w:sz w:val="9"/>
                <w:szCs w:val="9"/>
                <w:color w:val="auto"/>
              </w:rPr>
            </w:pPr>
          </w:p>
        </w:tc>
      </w:tr>
      <w:tr>
        <w:trPr>
          <w:trHeight w:val="130"/>
        </w:trPr>
        <w:tc>
          <w:tcPr>
            <w:tcW w:w="44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6"/>
              </w:rPr>
              <w:t>Preference</w:t>
            </w:r>
          </w:p>
        </w:tc>
        <w:tc>
          <w:tcPr>
            <w:tcW w:w="10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5"/>
              </w:rPr>
              <w:t>Shares Issued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9"/>
              </w:rPr>
              <w:t>Shares</w:t>
            </w:r>
          </w:p>
        </w:tc>
      </w:tr>
      <w:tr>
        <w:trPr>
          <w:trHeight w:val="130"/>
        </w:trPr>
        <w:tc>
          <w:tcPr>
            <w:tcW w:w="442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9"/>
              </w:rPr>
              <w:t>Shares</w:t>
            </w:r>
          </w:p>
        </w:tc>
        <w:tc>
          <w:tcPr>
            <w:tcW w:w="1000" w:type="dxa"/>
            <w:vAlign w:val="bottom"/>
            <w:gridSpan w:val="2"/>
          </w:tcPr>
          <w:p>
            <w:pPr>
              <w:jc w:val="center"/>
              <w:ind w:right="200"/>
              <w:spacing w:after="0" w:line="130" w:lineRule="exact"/>
              <w:rPr>
                <w:sz w:val="20"/>
                <w:szCs w:val="20"/>
                <w:color w:val="auto"/>
              </w:rPr>
            </w:pPr>
            <w:r>
              <w:rPr>
                <w:rFonts w:ascii="Arial" w:cs="Arial" w:eastAsia="Arial" w:hAnsi="Arial"/>
                <w:sz w:val="12"/>
                <w:szCs w:val="12"/>
                <w:b w:val="1"/>
                <w:bCs w:val="1"/>
                <w:color w:val="auto"/>
                <w:w w:val="93"/>
              </w:rPr>
              <w:t>and</w:t>
            </w:r>
          </w:p>
        </w:tc>
        <w:tc>
          <w:tcPr>
            <w:tcW w:w="840" w:type="dxa"/>
            <w:vAlign w:val="bottom"/>
            <w:gridSpan w:val="3"/>
          </w:tcPr>
          <w:p>
            <w:pPr>
              <w:jc w:val="right"/>
              <w:ind w:right="280"/>
              <w:spacing w:after="0" w:line="130" w:lineRule="exact"/>
              <w:rPr>
                <w:sz w:val="20"/>
                <w:szCs w:val="20"/>
                <w:color w:val="auto"/>
              </w:rPr>
            </w:pPr>
            <w:r>
              <w:rPr>
                <w:rFonts w:ascii="Arial" w:cs="Arial" w:eastAsia="Arial" w:hAnsi="Arial"/>
                <w:sz w:val="12"/>
                <w:szCs w:val="12"/>
                <w:b w:val="1"/>
                <w:bCs w:val="1"/>
                <w:color w:val="auto"/>
              </w:rPr>
              <w:t>Carrying</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Liquidation</w:t>
            </w:r>
          </w:p>
        </w:tc>
        <w:tc>
          <w:tcPr>
            <w:tcW w:w="840" w:type="dxa"/>
            <w:vAlign w:val="bottom"/>
            <w:gridSpan w:val="2"/>
          </w:tcPr>
          <w:p>
            <w:pPr>
              <w:jc w:val="center"/>
              <w:ind w:right="40"/>
              <w:spacing w:after="0" w:line="130" w:lineRule="exact"/>
              <w:rPr>
                <w:sz w:val="20"/>
                <w:szCs w:val="20"/>
                <w:color w:val="auto"/>
              </w:rPr>
            </w:pPr>
            <w:r>
              <w:rPr>
                <w:rFonts w:ascii="Arial" w:cs="Arial" w:eastAsia="Arial" w:hAnsi="Arial"/>
                <w:sz w:val="12"/>
                <w:szCs w:val="12"/>
                <w:b w:val="1"/>
                <w:bCs w:val="1"/>
                <w:color w:val="auto"/>
                <w:w w:val="97"/>
              </w:rPr>
              <w:t>Issuable Upon</w:t>
            </w:r>
          </w:p>
        </w:tc>
      </w:tr>
      <w:tr>
        <w:trPr>
          <w:trHeight w:val="138"/>
        </w:trPr>
        <w:tc>
          <w:tcPr>
            <w:tcW w:w="442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Authorized</w:t>
            </w: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Outstanding</w:t>
            </w:r>
          </w:p>
        </w:tc>
        <w:tc>
          <w:tcPr>
            <w:tcW w:w="100" w:type="dxa"/>
            <w:vAlign w:val="bottom"/>
          </w:tcPr>
          <w:p>
            <w:pPr>
              <w:spacing w:after="0"/>
              <w:rPr>
                <w:sz w:val="12"/>
                <w:szCs w:val="12"/>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Value</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Preference</w:t>
            </w:r>
          </w:p>
        </w:tc>
        <w:tc>
          <w:tcPr>
            <w:tcW w:w="8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6"/>
              </w:rPr>
              <w:t>Conversion</w:t>
            </w:r>
          </w:p>
        </w:tc>
      </w:tr>
      <w:tr>
        <w:trPr>
          <w:trHeight w:val="153"/>
        </w:trPr>
        <w:tc>
          <w:tcPr>
            <w:tcW w:w="44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Series Seed</w:t>
            </w:r>
          </w:p>
        </w:tc>
        <w:tc>
          <w:tcPr>
            <w:tcW w:w="6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23,343</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23,343</w:t>
            </w: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5,236</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2,939</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513,546</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Series A</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225,866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225,866</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63,536</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54,528</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4,969,052</w:t>
            </w:r>
          </w:p>
        </w:tc>
      </w:tr>
      <w:tr>
        <w:trPr>
          <w:trHeight w:val="162"/>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Series B</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442,205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442,205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134,975</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135,248</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9,728,510</w:t>
            </w:r>
          </w:p>
        </w:tc>
      </w:tr>
      <w:tr>
        <w:trPr>
          <w:trHeight w:val="162"/>
        </w:trPr>
        <w:tc>
          <w:tcPr>
            <w:tcW w:w="4420" w:type="dxa"/>
            <w:vAlign w:val="bottom"/>
          </w:tcPr>
          <w:p>
            <w:pPr>
              <w:spacing w:after="0"/>
              <w:rPr>
                <w:sz w:val="20"/>
                <w:szCs w:val="20"/>
                <w:color w:val="auto"/>
              </w:rPr>
            </w:pPr>
            <w:r>
              <w:rPr>
                <w:rFonts w:ascii="Arial" w:cs="Arial" w:eastAsia="Arial" w:hAnsi="Arial"/>
                <w:sz w:val="14"/>
                <w:szCs w:val="14"/>
                <w:color w:val="auto"/>
              </w:rPr>
              <w:t>Series C</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512,991</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512,991</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156,421</w:t>
            </w:r>
          </w:p>
        </w:tc>
        <w:tc>
          <w:tcPr>
            <w:tcW w:w="10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156,898</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11,285,802</w:t>
            </w:r>
          </w:p>
        </w:tc>
      </w:tr>
      <w:tr>
        <w:trPr>
          <w:trHeight w:val="22"/>
        </w:trPr>
        <w:tc>
          <w:tcPr>
            <w:tcW w:w="4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2"/>
        </w:trPr>
        <w:tc>
          <w:tcPr>
            <w:tcW w:w="44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1,204,405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1,204,405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u w:val="single" w:color="auto"/>
                <w:color w:val="auto"/>
                <w:w w:val="76"/>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360,068</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349,613</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26,496,910</w:t>
            </w:r>
          </w:p>
        </w:tc>
        <w:tc>
          <w:tcPr>
            <w:tcW w:w="40" w:type="dxa"/>
            <w:vAlign w:val="bottom"/>
            <w:shd w:val="clear" w:color="auto" w:fill="CCEEFF"/>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279" w:firstLine="353"/>
        <w:spacing w:after="0" w:line="285" w:lineRule="auto"/>
        <w:rPr>
          <w:sz w:val="20"/>
          <w:szCs w:val="20"/>
          <w:color w:val="auto"/>
        </w:rPr>
      </w:pPr>
      <w:r>
        <w:rPr>
          <w:rFonts w:ascii="Arial" w:cs="Arial" w:eastAsia="Arial" w:hAnsi="Arial"/>
          <w:sz w:val="14"/>
          <w:szCs w:val="14"/>
          <w:color w:val="auto"/>
        </w:rPr>
        <w:t>The convertible preferred stock had substantially identical rights to the convertible preference shares. The rights, preferences, and privileges of the convertible preferred stock were as follows as of March 31, 2026:</w:t>
      </w: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Liquidation Preference</w:t>
      </w:r>
    </w:p>
    <w:p>
      <w:pPr>
        <w:spacing w:after="0" w:line="8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The Deemed Liquidation Events (as defined in the Company’s amended and restated certificate of incorporation, as amended) included: (a) a merger, consolidation, statutory conversion, transfer of the Company, domestication, or continuance in which (i) the Company is a constituent party or (ii) a subsidiary of the Company is a constituent party and the Company issues shares of its capital stock pursuant to such merger, consolidation, statutory conversion, transfer of the Company, domestication, or continuance, (b) (i) the sale, lease, transfer, exclusive license or other disposition, in a single transaction or series of related transactions, by the Company or any subsidiary of the Company of all or substantially all the assets of the Company and its subsidiaries taken as a whole, or (ii) the sale, lease, transfer, exclusive license or other disposition (whether by merger, consolidation, statutory conversion, transfer of the Company, domestication, continuance or otherwise, and whether in a single 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 In the event of any Deemed Liquidation Event, the proceeds, if any, would have been distributed to the stockholders in accordance with the following priority:</w:t>
      </w:r>
    </w:p>
    <w:p>
      <w:pPr>
        <w:spacing w:after="0" w:line="230" w:lineRule="exact"/>
        <w:rPr>
          <w:sz w:val="20"/>
          <w:szCs w:val="20"/>
          <w:color w:val="auto"/>
        </w:rPr>
      </w:pPr>
    </w:p>
    <w:p>
      <w:pPr>
        <w:ind w:left="1580" w:right="159" w:hanging="351"/>
        <w:spacing w:after="0" w:line="250" w:lineRule="auto"/>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First, the holders of Series C Convertible Preferred Stock would have, for every share of Series C Convertible Preferred Stock, been entitled to be paid out an amount equal to the greater of (a) one times the applicable Original Issue Price ($305.85), plus any dividends declared but unpaid thereon, or (b) such amount per share as would have been payable had all shares of Series C Convertible Preferred Stock been converted into Common Stock. If the available proceeds were insufficient to make payment in full on the Series C Convertible Preferred Stock, then the available proceeds would have been allocated pro rata amongst the holders in proportion to their holdings of Series C Convertible Preferred Stock.</w:t>
      </w:r>
    </w:p>
    <w:p>
      <w:pPr>
        <w:spacing w:after="0" w:line="65" w:lineRule="exact"/>
        <w:rPr>
          <w:rFonts w:ascii="Arial" w:cs="Arial" w:eastAsia="Arial" w:hAnsi="Arial"/>
          <w:sz w:val="14"/>
          <w:szCs w:val="14"/>
          <w:color w:val="auto"/>
        </w:rPr>
      </w:pPr>
    </w:p>
    <w:p>
      <w:pPr>
        <w:ind w:left="1580" w:right="119" w:hanging="351"/>
        <w:spacing w:after="0" w:line="249" w:lineRule="auto"/>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Second, the holders of Series B and/or Series A Convertible Preferred Stock would have, for every share of Series B and/or Series A Convertible Preferred Stock, been entitled to be paid out an amount equal to the greater of (a) one times the applicable Original Issue Price ($305.85 for Series B and $236.39 for Series A Convertible Preferred Stock), plus any dividends declared but unpaid thereon, or (b) such amount per share as would have been payable had all shares of Series B Convertible Preferred Stock and Series A Convertible Preferred Stock been converted into Common Stock. If the available proceeds were insufficient to make payment in full on the Series B and/or Series A Convertible Preferred Stock, then the available proceeds would have been allocated pro rata amongst the holders in proportion to their holdings of Series B and/or Series A Convertible Preferred Stock.</w:t>
      </w:r>
    </w:p>
    <w:p>
      <w:pPr>
        <w:spacing w:after="0" w:line="64" w:lineRule="exact"/>
        <w:rPr>
          <w:rFonts w:ascii="Arial" w:cs="Arial" w:eastAsia="Arial" w:hAnsi="Arial"/>
          <w:sz w:val="14"/>
          <w:szCs w:val="14"/>
          <w:color w:val="auto"/>
        </w:rPr>
      </w:pPr>
    </w:p>
    <w:p>
      <w:pPr>
        <w:ind w:left="1580" w:right="119" w:hanging="351"/>
        <w:spacing w:after="0" w:line="249" w:lineRule="auto"/>
        <w:tabs>
          <w:tab w:leader="none" w:pos="1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Third, the holders of Series Seed Convertible Preferred Stock would have, for every share of Series Seed Convertible Preferred Stock, been entitled to be paid out an amount equal to the greater of (a) one times the applicable Original Issue Price ($133.92), plus any dividends declared but unpaid thereon, or (b) such amount per share as would have been payable had all shares of Series Seed Convertible Preferred Stock been converted into Common Stock. If the available proceeds were insufficient to make payment in full on the Series Seed Convertible Preferred Stock, then the available proceeds would have been allocated pro rata amongst the holders in proportion to their holdings of Series Seed Convertible Preferred Stock (together with clauses (i) and (ii) above, the “Liquidation Amount”).</w:t>
      </w:r>
    </w:p>
    <w:p>
      <w:pPr>
        <w:spacing w:after="0" w:line="140" w:lineRule="exact"/>
        <w:rPr>
          <w:sz w:val="20"/>
          <w:szCs w:val="20"/>
          <w:color w:val="auto"/>
        </w:rPr>
      </w:pPr>
    </w:p>
    <w:p>
      <w:pPr>
        <w:ind w:left="1220" w:right="119" w:firstLine="353"/>
        <w:spacing w:after="0" w:line="285" w:lineRule="auto"/>
        <w:rPr>
          <w:sz w:val="20"/>
          <w:szCs w:val="20"/>
          <w:color w:val="auto"/>
        </w:rPr>
      </w:pPr>
      <w:r>
        <w:rPr>
          <w:rFonts w:ascii="Arial" w:cs="Arial" w:eastAsia="Arial" w:hAnsi="Arial"/>
          <w:sz w:val="14"/>
          <w:szCs w:val="14"/>
          <w:color w:val="auto"/>
        </w:rPr>
        <w:t>The remaining proceeds, if any, following distribution of the Liquidation Amount would have been distributed to the holder of common stock on a pro rata basis.</w:t>
      </w: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Conversion</w:t>
      </w:r>
    </w:p>
    <w:p>
      <w:pPr>
        <w:spacing w:after="0" w:line="86"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Shares of convertible preferred stock were convertible into common stock at the option of the holder at any time by dividing the applicable Original Issue Price by the applicable Conversion Price (each as defined in the Company’s amended and restated certificate of incorporation, as amended) in effect at the time of conversion. In connection with the corporate reorganization, the Conversion Prices were set for each series of preferred stock based on the Original Issuance Price, so the convertible preferred stock would be convertible into common stock on a one-for-one basis. In addition, the convertible preferred stock was automatically convertible into common stock on a one-for-one basis (i) in the event that 50% of all convertible preferred stock voting as one share class, including 60% of the Series C Convertible Preferred Stock (the “Investor Majority”), consented to such conversion, or (ii) in the event of a public offering which generated gross proceeds of not less than $100.0 million.</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159"/>
          </w:cols>
          <w:pgMar w:left="300" w:top="41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219" w:firstLine="353"/>
        <w:spacing w:after="0" w:line="256" w:lineRule="auto"/>
        <w:rPr>
          <w:sz w:val="20"/>
          <w:szCs w:val="20"/>
          <w:color w:val="auto"/>
        </w:rPr>
      </w:pPr>
      <w:r>
        <w:rPr>
          <w:rFonts w:ascii="Arial" w:cs="Arial" w:eastAsia="Arial" w:hAnsi="Arial"/>
          <w:sz w:val="14"/>
          <w:szCs w:val="14"/>
          <w:color w:val="auto"/>
        </w:rPr>
        <w:t>On May 4, 2026, the Company completed the IPO of 19,262,500 shares of its common stock for gross proceeds of approximately $346.7 million before deducting underwriting discounts and commissions and estimated offering expenses payable by the Company. In connection with the completion of the IPO, all of the Company’s convertible preferred stock converted into 26,496,910 shares of common stock, and no shares of preferred stock were outstanding. See Note 14 titled “</w:t>
      </w:r>
      <w:r>
        <w:rPr>
          <w:rFonts w:ascii="Arial" w:cs="Arial" w:eastAsia="Arial" w:hAnsi="Arial"/>
          <w:sz w:val="14"/>
          <w:szCs w:val="14"/>
          <w:i w:val="1"/>
          <w:iCs w:val="1"/>
          <w:color w:val="auto"/>
        </w:rPr>
        <w:t>Subsequent Events</w:t>
      </w:r>
      <w:r>
        <w:rPr>
          <w:rFonts w:ascii="Arial" w:cs="Arial" w:eastAsia="Arial" w:hAnsi="Arial"/>
          <w:sz w:val="14"/>
          <w:szCs w:val="14"/>
          <w:color w:val="auto"/>
        </w:rPr>
        <w:t>” for additional information.</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Voting</w:t>
      </w:r>
    </w:p>
    <w:p>
      <w:pPr>
        <w:spacing w:after="0" w:line="86" w:lineRule="exact"/>
        <w:rPr>
          <w:sz w:val="20"/>
          <w:szCs w:val="20"/>
          <w:color w:val="auto"/>
        </w:rPr>
      </w:pPr>
    </w:p>
    <w:p>
      <w:pPr>
        <w:jc w:val="both"/>
        <w:ind w:left="1220" w:right="159" w:firstLine="353"/>
        <w:spacing w:after="0" w:line="263" w:lineRule="auto"/>
        <w:rPr>
          <w:sz w:val="20"/>
          <w:szCs w:val="20"/>
          <w:color w:val="auto"/>
        </w:rPr>
      </w:pPr>
      <w:r>
        <w:rPr>
          <w:rFonts w:ascii="Arial" w:cs="Arial" w:eastAsia="Arial" w:hAnsi="Arial"/>
          <w:sz w:val="14"/>
          <w:szCs w:val="14"/>
          <w:color w:val="auto"/>
        </w:rPr>
        <w:t>The holders of convertible preferred stock were entitled to the number of votes equal to the number of shares of common stock into which their shares of convertible preferred stock were then convertible, on all matters to be voted upon at all general meetings and written actions in lieu of meetings.</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Redemption</w:t>
      </w:r>
    </w:p>
    <w:p>
      <w:pPr>
        <w:spacing w:after="0" w:line="86" w:lineRule="exact"/>
        <w:rPr>
          <w:sz w:val="20"/>
          <w:szCs w:val="20"/>
          <w:color w:val="auto"/>
        </w:rPr>
      </w:pPr>
    </w:p>
    <w:p>
      <w:pPr>
        <w:ind w:left="1220" w:right="579" w:firstLine="353"/>
        <w:spacing w:after="0" w:line="263" w:lineRule="auto"/>
        <w:rPr>
          <w:sz w:val="20"/>
          <w:szCs w:val="20"/>
          <w:color w:val="auto"/>
        </w:rPr>
      </w:pPr>
      <w:r>
        <w:rPr>
          <w:rFonts w:ascii="Arial" w:cs="Arial" w:eastAsia="Arial" w:hAnsi="Arial"/>
          <w:sz w:val="14"/>
          <w:szCs w:val="14"/>
          <w:color w:val="auto"/>
        </w:rPr>
        <w:t>Shares of convertible preferred stock were not subject to mandatory redemption. Upon certain events that were outside of the Company’s control, the shares of convertible preferred stock were contingently redeemable at a price equal to the greater of the Liquidation Amount or the amount that would be received on an as-converted to common stock basis.</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10. Common Stock and Ordinary Shares</w:t>
      </w:r>
    </w:p>
    <w:p>
      <w:pPr>
        <w:spacing w:after="0" w:line="88" w:lineRule="exact"/>
        <w:rPr>
          <w:sz w:val="20"/>
          <w:szCs w:val="20"/>
          <w:color w:val="auto"/>
        </w:rPr>
      </w:pPr>
    </w:p>
    <w:p>
      <w:pPr>
        <w:ind w:left="1220" w:right="659" w:firstLine="353"/>
        <w:spacing w:after="0" w:line="285" w:lineRule="auto"/>
        <w:rPr>
          <w:sz w:val="20"/>
          <w:szCs w:val="20"/>
          <w:color w:val="auto"/>
        </w:rPr>
      </w:pPr>
      <w:r>
        <w:rPr>
          <w:rFonts w:ascii="Arial" w:cs="Arial" w:eastAsia="Arial" w:hAnsi="Arial"/>
          <w:sz w:val="14"/>
          <w:szCs w:val="14"/>
          <w:color w:val="auto"/>
        </w:rPr>
        <w:t>As of March 31, 2026, the Company had 1,446,166 shares of common stock authorized for issuance, and 946,000 shares of common stock issued and outstanding.</w:t>
      </w:r>
    </w:p>
    <w:p>
      <w:pPr>
        <w:spacing w:after="0" w:line="115" w:lineRule="exact"/>
        <w:rPr>
          <w:sz w:val="20"/>
          <w:szCs w:val="20"/>
          <w:color w:val="auto"/>
        </w:rPr>
      </w:pPr>
    </w:p>
    <w:p>
      <w:pPr>
        <w:ind w:left="1220" w:right="259" w:firstLine="353"/>
        <w:spacing w:after="0" w:line="256" w:lineRule="auto"/>
        <w:rPr>
          <w:sz w:val="20"/>
          <w:szCs w:val="20"/>
          <w:color w:val="auto"/>
        </w:rPr>
      </w:pPr>
      <w:r>
        <w:rPr>
          <w:rFonts w:ascii="Arial" w:cs="Arial" w:eastAsia="Arial" w:hAnsi="Arial"/>
          <w:sz w:val="14"/>
          <w:szCs w:val="14"/>
          <w:color w:val="auto"/>
        </w:rPr>
        <w:t>The holders of shares of common stock and ordinary shares were entitled to an allocation and distribution of proceeds in a Liquidation Event subject to the Liquidation Amount due to the holders of convertible preferred stock. When the Liquidation Amount had been paid in full, any remaining proceeds would have been distributed to the holders of common stock or ordinary shares, as applicable, on a pro rata basis.</w:t>
      </w:r>
    </w:p>
    <w:p>
      <w:pPr>
        <w:spacing w:after="0" w:line="135" w:lineRule="exact"/>
        <w:rPr>
          <w:sz w:val="20"/>
          <w:szCs w:val="20"/>
          <w:color w:val="auto"/>
        </w:rPr>
      </w:pPr>
    </w:p>
    <w:p>
      <w:pPr>
        <w:ind w:left="1220" w:right="319" w:firstLine="353"/>
        <w:spacing w:after="0" w:line="285" w:lineRule="auto"/>
        <w:rPr>
          <w:sz w:val="20"/>
          <w:szCs w:val="20"/>
          <w:color w:val="auto"/>
        </w:rPr>
      </w:pPr>
      <w:r>
        <w:rPr>
          <w:rFonts w:ascii="Arial" w:cs="Arial" w:eastAsia="Arial" w:hAnsi="Arial"/>
          <w:sz w:val="14"/>
          <w:szCs w:val="14"/>
          <w:color w:val="auto"/>
        </w:rPr>
        <w:t>The holders of common stock and ordinary shares are entitled to one vote per share on all matters to be voted upon at all general meetings and written actions in lieu of meetings.</w:t>
      </w:r>
    </w:p>
    <w:p>
      <w:pPr>
        <w:spacing w:after="0" w:line="115" w:lineRule="exact"/>
        <w:rPr>
          <w:sz w:val="20"/>
          <w:szCs w:val="20"/>
          <w:color w:val="auto"/>
        </w:rPr>
      </w:pPr>
    </w:p>
    <w:p>
      <w:pPr>
        <w:ind w:left="1220" w:right="579" w:firstLine="353"/>
        <w:spacing w:after="0" w:line="285" w:lineRule="auto"/>
        <w:rPr>
          <w:sz w:val="20"/>
          <w:szCs w:val="20"/>
          <w:color w:val="auto"/>
        </w:rPr>
      </w:pPr>
      <w:r>
        <w:rPr>
          <w:rFonts w:ascii="Arial" w:cs="Arial" w:eastAsia="Arial" w:hAnsi="Arial"/>
          <w:sz w:val="14"/>
          <w:szCs w:val="14"/>
          <w:color w:val="auto"/>
        </w:rPr>
        <w:t>On May 4, 2026, the Company completed the IPO of 19,262,500 shares of its common stock. See Note 14 titled “</w:t>
      </w:r>
      <w:r>
        <w:rPr>
          <w:rFonts w:ascii="Arial" w:cs="Arial" w:eastAsia="Arial" w:hAnsi="Arial"/>
          <w:sz w:val="14"/>
          <w:szCs w:val="14"/>
          <w:i w:val="1"/>
          <w:iCs w:val="1"/>
          <w:color w:val="auto"/>
        </w:rPr>
        <w:t>Subsequent</w:t>
      </w:r>
      <w:r>
        <w:rPr>
          <w:rFonts w:ascii="Arial" w:cs="Arial" w:eastAsia="Arial" w:hAnsi="Arial"/>
          <w:sz w:val="14"/>
          <w:szCs w:val="14"/>
          <w:color w:val="auto"/>
        </w:rPr>
        <w:t xml:space="preserve"> </w:t>
      </w:r>
      <w:r>
        <w:rPr>
          <w:rFonts w:ascii="Arial" w:cs="Arial" w:eastAsia="Arial" w:hAnsi="Arial"/>
          <w:sz w:val="14"/>
          <w:szCs w:val="14"/>
          <w:i w:val="1"/>
          <w:iCs w:val="1"/>
          <w:color w:val="auto"/>
        </w:rPr>
        <w:t>Events</w:t>
      </w:r>
      <w:r>
        <w:rPr>
          <w:rFonts w:ascii="Arial" w:cs="Arial" w:eastAsia="Arial" w:hAnsi="Arial"/>
          <w:sz w:val="14"/>
          <w:szCs w:val="14"/>
          <w:color w:val="auto"/>
        </w:rPr>
        <w:t>” for additional information.</w:t>
      </w:r>
    </w:p>
    <w:p>
      <w:pPr>
        <w:spacing w:after="0" w:line="202" w:lineRule="exact"/>
        <w:rPr>
          <w:sz w:val="20"/>
          <w:szCs w:val="20"/>
          <w:color w:val="auto"/>
        </w:rPr>
      </w:pPr>
    </w:p>
    <w:p>
      <w:pPr>
        <w:ind w:left="1220" w:right="6739" w:firstLine="9"/>
        <w:spacing w:after="0" w:line="371" w:lineRule="auto"/>
        <w:tabs>
          <w:tab w:leader="none" w:pos="1453"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Equity-Based Compensation </w:t>
      </w:r>
      <w:r>
        <w:rPr>
          <w:rFonts w:ascii="Arial" w:cs="Arial" w:eastAsia="Arial" w:hAnsi="Arial"/>
          <w:sz w:val="14"/>
          <w:szCs w:val="14"/>
          <w:b w:val="1"/>
          <w:bCs w:val="1"/>
          <w:i w:val="1"/>
          <w:iCs w:val="1"/>
          <w:color w:val="auto"/>
        </w:rPr>
        <w:t>Warrants</w:t>
      </w:r>
    </w:p>
    <w:p>
      <w:pPr>
        <w:ind w:left="1220" w:right="179" w:firstLine="353"/>
        <w:spacing w:after="0" w:line="249" w:lineRule="auto"/>
        <w:rPr>
          <w:sz w:val="20"/>
          <w:szCs w:val="20"/>
          <w:color w:val="auto"/>
        </w:rPr>
      </w:pPr>
      <w:r>
        <w:rPr>
          <w:rFonts w:ascii="Arial" w:cs="Arial" w:eastAsia="Arial" w:hAnsi="Arial"/>
          <w:sz w:val="14"/>
          <w:szCs w:val="14"/>
          <w:color w:val="auto"/>
        </w:rPr>
        <w:t>As of March 31, 2026, the Company had 5,227,222 warrant grants outstanding. Each vested warrant entitles the warrant holder the right to subscribe for one share of common stock. Holders of stock warrants are entitled to exercise the vested portion of the warrant. The service-based warrant grants generally vest over a four-year service period, with the first 25% vesting on the one-year anniversary of the vesting start date and the remaining vesting in equal monthly installments over the following 36 months. The service-based and performance-based warrant grants vest in the same manner as the service-based only awards to the extent the performance condition is met. The Company’s warrants expire ten years after the initial grant date if they remain unexercised. Upon the exercise date, the Company issues new shares of common stock to the participant.</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No warrants were exercised during the three months ended March 31, 2026.</w:t>
      </w:r>
    </w:p>
    <w:p>
      <w:pPr>
        <w:spacing w:after="0" w:line="174" w:lineRule="exact"/>
        <w:rPr>
          <w:sz w:val="20"/>
          <w:szCs w:val="20"/>
          <w:color w:val="auto"/>
        </w:rPr>
      </w:pPr>
    </w:p>
    <w:p>
      <w:pPr>
        <w:ind w:left="1220" w:right="399" w:firstLine="353"/>
        <w:spacing w:after="0" w:line="285" w:lineRule="auto"/>
        <w:rPr>
          <w:sz w:val="20"/>
          <w:szCs w:val="20"/>
          <w:color w:val="auto"/>
        </w:rPr>
      </w:pPr>
      <w:r>
        <w:rPr>
          <w:rFonts w:ascii="Arial" w:cs="Arial" w:eastAsia="Arial" w:hAnsi="Arial"/>
          <w:sz w:val="14"/>
          <w:szCs w:val="14"/>
          <w:color w:val="auto"/>
        </w:rPr>
        <w:t>The following assumptions were used in determining the fair value of warrants granted during the three months ended March 31, 2026:</w:t>
      </w:r>
    </w:p>
    <w:p>
      <w:pPr>
        <w:spacing w:after="0" w:line="135" w:lineRule="exact"/>
        <w:rPr>
          <w:sz w:val="20"/>
          <w:szCs w:val="20"/>
          <w:color w:val="auto"/>
        </w:rPr>
      </w:pPr>
    </w:p>
    <w:tbl>
      <w:tblPr>
        <w:tblLayout w:type="fixed"/>
        <w:tblInd w:w="264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Three Months Ended</w:t>
            </w:r>
          </w:p>
        </w:tc>
      </w:tr>
      <w:tr>
        <w:trPr>
          <w:trHeight w:val="138"/>
        </w:trPr>
        <w:tc>
          <w:tcPr>
            <w:tcW w:w="226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5"/>
              </w:rPr>
              <w:t>March 31, 2026</w:t>
            </w:r>
          </w:p>
        </w:tc>
      </w:tr>
      <w:tr>
        <w:trPr>
          <w:trHeight w:val="153"/>
        </w:trPr>
        <w:tc>
          <w:tcPr>
            <w:tcW w:w="226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Expected volatility</w:t>
            </w:r>
          </w:p>
        </w:tc>
        <w:tc>
          <w:tcPr>
            <w:tcW w:w="26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spacing w:after="0" w:line="153" w:lineRule="exact"/>
              <w:rPr>
                <w:sz w:val="20"/>
                <w:szCs w:val="20"/>
                <w:color w:val="auto"/>
              </w:rPr>
            </w:pPr>
            <w:r>
              <w:rPr>
                <w:rFonts w:ascii="Arial" w:cs="Arial" w:eastAsia="Arial" w:hAnsi="Arial"/>
                <w:sz w:val="14"/>
                <w:szCs w:val="14"/>
                <w:color w:val="auto"/>
              </w:rPr>
              <w:t>89.1% - 91.2%</w:t>
            </w: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Risk-free interest rate</w:t>
            </w:r>
          </w:p>
        </w:tc>
        <w:tc>
          <w:tcPr>
            <w:tcW w:w="312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620" w:type="dxa"/>
            <w:vAlign w:val="bottom"/>
          </w:tcPr>
          <w:p>
            <w:pPr>
              <w:ind w:left="20"/>
              <w:spacing w:after="0"/>
              <w:rPr>
                <w:sz w:val="20"/>
                <w:szCs w:val="20"/>
                <w:color w:val="auto"/>
              </w:rPr>
            </w:pPr>
            <w:r>
              <w:rPr>
                <w:rFonts w:ascii="Arial" w:cs="Arial" w:eastAsia="Arial" w:hAnsi="Arial"/>
                <w:sz w:val="14"/>
                <w:szCs w:val="14"/>
                <w:color w:val="auto"/>
              </w:rPr>
              <w:t>- 3.9%</w:t>
            </w:r>
          </w:p>
        </w:tc>
      </w:tr>
      <w:tr>
        <w:trPr>
          <w:trHeight w:val="16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Expected term (in years)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- 6.2</w:t>
            </w: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3740" w:type="dxa"/>
            <w:vAlign w:val="bottom"/>
            <w:gridSpan w:val="3"/>
          </w:tcPr>
          <w:p>
            <w:pPr>
              <w:jc w:val="center"/>
              <w:ind w:left="2528"/>
              <w:spacing w:after="0"/>
              <w:rPr>
                <w:sz w:val="20"/>
                <w:szCs w:val="20"/>
                <w:color w:val="auto"/>
              </w:rPr>
            </w:pPr>
            <w:r>
              <w:rPr>
                <w:rFonts w:ascii="Arial" w:cs="Arial" w:eastAsia="Arial" w:hAnsi="Arial"/>
                <w:sz w:val="14"/>
                <w:szCs w:val="14"/>
                <w:color w:val="auto"/>
              </w:rPr>
              <w:t>0%</w:t>
            </w:r>
          </w:p>
        </w:tc>
      </w:tr>
      <w:tr>
        <w:trPr>
          <w:trHeight w:val="16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Fair value per share</w:t>
            </w:r>
          </w:p>
        </w:tc>
        <w:tc>
          <w:tcPr>
            <w:tcW w:w="3740" w:type="dxa"/>
            <w:vAlign w:val="bottom"/>
            <w:gridSpan w:val="3"/>
            <w:shd w:val="clear" w:color="auto" w:fill="CCEEFF"/>
          </w:tcPr>
          <w:p>
            <w:pPr>
              <w:jc w:val="center"/>
              <w:ind w:left="2508"/>
              <w:spacing w:after="0"/>
              <w:rPr>
                <w:sz w:val="20"/>
                <w:szCs w:val="20"/>
                <w:color w:val="auto"/>
              </w:rPr>
            </w:pPr>
            <w:r>
              <w:rPr>
                <w:rFonts w:ascii="Arial" w:cs="Arial" w:eastAsia="Arial" w:hAnsi="Arial"/>
                <w:sz w:val="14"/>
                <w:szCs w:val="14"/>
                <w:color w:val="auto"/>
              </w:rPr>
              <w:t>$9.37</w:t>
            </w:r>
          </w:p>
        </w:tc>
      </w:tr>
      <w:tr>
        <w:trPr>
          <w:trHeight w:val="295"/>
        </w:trPr>
        <w:tc>
          <w:tcPr>
            <w:tcW w:w="2260" w:type="dxa"/>
            <w:vAlign w:val="bottom"/>
          </w:tcPr>
          <w:p>
            <w:pPr>
              <w:spacing w:after="0"/>
              <w:rPr>
                <w:sz w:val="24"/>
                <w:szCs w:val="24"/>
                <w:color w:val="auto"/>
              </w:rPr>
            </w:pPr>
          </w:p>
        </w:tc>
        <w:tc>
          <w:tcPr>
            <w:tcW w:w="2600" w:type="dxa"/>
            <w:vAlign w:val="bottom"/>
          </w:tcPr>
          <w:p>
            <w:pPr>
              <w:jc w:val="right"/>
              <w:ind w:right="1708"/>
              <w:spacing w:after="0"/>
              <w:rPr>
                <w:sz w:val="20"/>
                <w:szCs w:val="20"/>
                <w:color w:val="auto"/>
              </w:rPr>
            </w:pPr>
            <w:r>
              <w:rPr>
                <w:rFonts w:ascii="Arial" w:cs="Arial" w:eastAsia="Arial" w:hAnsi="Arial"/>
                <w:sz w:val="14"/>
                <w:szCs w:val="14"/>
                <w:color w:val="auto"/>
              </w:rPr>
              <w:t>20</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159"/>
          </w:cols>
          <w:pgMar w:left="300" w:top="415"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following table summarizes the Company’s warrants for the three months ended March 31, 2026:</w:t>
      </w:r>
    </w:p>
    <w:p>
      <w:pPr>
        <w:spacing w:after="0" w:line="194" w:lineRule="exact"/>
        <w:rPr>
          <w:sz w:val="20"/>
          <w:szCs w:val="20"/>
          <w:color w:val="auto"/>
        </w:rPr>
      </w:pPr>
    </w:p>
    <w:tbl>
      <w:tblPr>
        <w:tblLayout w:type="fixed"/>
        <w:tblInd w:w="158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6"/>
              </w:rPr>
              <w:t>Weighted-</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0"/>
        </w:trPr>
        <w:tc>
          <w:tcPr>
            <w:tcW w:w="4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Weighted-</w:t>
            </w:r>
          </w:p>
        </w:tc>
        <w:tc>
          <w:tcPr>
            <w:tcW w:w="1020" w:type="dxa"/>
            <w:vAlign w:val="bottom"/>
            <w:gridSpan w:val="2"/>
          </w:tcPr>
          <w:p>
            <w:pPr>
              <w:jc w:val="center"/>
              <w:ind w:right="420"/>
              <w:spacing w:after="0" w:line="130" w:lineRule="exact"/>
              <w:rPr>
                <w:sz w:val="20"/>
                <w:szCs w:val="20"/>
                <w:color w:val="auto"/>
              </w:rPr>
            </w:pPr>
            <w:r>
              <w:rPr>
                <w:rFonts w:ascii="Arial" w:cs="Arial" w:eastAsia="Arial" w:hAnsi="Arial"/>
                <w:sz w:val="12"/>
                <w:szCs w:val="12"/>
                <w:b w:val="1"/>
                <w:bCs w:val="1"/>
                <w:color w:val="auto"/>
                <w:w w:val="96"/>
              </w:rPr>
              <w:t>average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0"/>
        </w:trPr>
        <w:tc>
          <w:tcPr>
            <w:tcW w:w="4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right="400"/>
              <w:spacing w:after="0" w:line="130" w:lineRule="exact"/>
              <w:rPr>
                <w:sz w:val="20"/>
                <w:szCs w:val="20"/>
                <w:color w:val="auto"/>
              </w:rPr>
            </w:pPr>
            <w:r>
              <w:rPr>
                <w:rFonts w:ascii="Arial" w:cs="Arial" w:eastAsia="Arial" w:hAnsi="Arial"/>
                <w:sz w:val="12"/>
                <w:szCs w:val="12"/>
                <w:b w:val="1"/>
                <w:bCs w:val="1"/>
                <w:color w:val="auto"/>
                <w:w w:val="96"/>
              </w:rPr>
              <w:t>average</w:t>
            </w:r>
          </w:p>
        </w:tc>
        <w:tc>
          <w:tcPr>
            <w:tcW w:w="1020" w:type="dxa"/>
            <w:vAlign w:val="bottom"/>
            <w:gridSpan w:val="2"/>
          </w:tcPr>
          <w:p>
            <w:pPr>
              <w:jc w:val="center"/>
              <w:ind w:right="400"/>
              <w:spacing w:after="0" w:line="130" w:lineRule="exact"/>
              <w:rPr>
                <w:sz w:val="20"/>
                <w:szCs w:val="20"/>
                <w:color w:val="auto"/>
              </w:rPr>
            </w:pPr>
            <w:r>
              <w:rPr>
                <w:rFonts w:ascii="Arial" w:cs="Arial" w:eastAsia="Arial" w:hAnsi="Arial"/>
                <w:sz w:val="12"/>
                <w:szCs w:val="12"/>
                <w:b w:val="1"/>
                <w:bCs w:val="1"/>
                <w:color w:val="auto"/>
                <w:w w:val="94"/>
              </w:rPr>
              <w:t>remaining</w:t>
            </w:r>
          </w:p>
        </w:tc>
        <w:tc>
          <w:tcPr>
            <w:tcW w:w="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Aggregate</w:t>
            </w:r>
          </w:p>
        </w:tc>
      </w:tr>
      <w:tr>
        <w:trPr>
          <w:trHeight w:val="130"/>
        </w:trPr>
        <w:tc>
          <w:tcPr>
            <w:tcW w:w="4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right="380"/>
              <w:spacing w:after="0" w:line="130" w:lineRule="exact"/>
              <w:rPr>
                <w:sz w:val="20"/>
                <w:szCs w:val="20"/>
                <w:color w:val="auto"/>
              </w:rPr>
            </w:pPr>
            <w:r>
              <w:rPr>
                <w:rFonts w:ascii="Arial" w:cs="Arial" w:eastAsia="Arial" w:hAnsi="Arial"/>
                <w:sz w:val="12"/>
                <w:szCs w:val="12"/>
                <w:b w:val="1"/>
                <w:bCs w:val="1"/>
                <w:color w:val="auto"/>
                <w:w w:val="95"/>
              </w:rPr>
              <w:t>exercise</w:t>
            </w:r>
          </w:p>
        </w:tc>
        <w:tc>
          <w:tcPr>
            <w:tcW w:w="1020" w:type="dxa"/>
            <w:vAlign w:val="bottom"/>
            <w:gridSpan w:val="2"/>
          </w:tcPr>
          <w:p>
            <w:pPr>
              <w:jc w:val="center"/>
              <w:ind w:right="400"/>
              <w:spacing w:after="0" w:line="130" w:lineRule="exact"/>
              <w:rPr>
                <w:sz w:val="20"/>
                <w:szCs w:val="20"/>
                <w:color w:val="auto"/>
              </w:rPr>
            </w:pPr>
            <w:r>
              <w:rPr>
                <w:rFonts w:ascii="Arial" w:cs="Arial" w:eastAsia="Arial" w:hAnsi="Arial"/>
                <w:sz w:val="12"/>
                <w:szCs w:val="12"/>
                <w:b w:val="1"/>
                <w:bCs w:val="1"/>
                <w:color w:val="auto"/>
                <w:w w:val="95"/>
              </w:rPr>
              <w:t>contractual</w:t>
            </w:r>
          </w:p>
        </w:tc>
        <w:tc>
          <w:tcPr>
            <w:tcW w:w="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intrinsic</w:t>
            </w:r>
          </w:p>
        </w:tc>
      </w:tr>
      <w:tr>
        <w:trPr>
          <w:trHeight w:val="130"/>
        </w:trPr>
        <w:tc>
          <w:tcPr>
            <w:tcW w:w="4420" w:type="dxa"/>
            <w:vAlign w:val="bottom"/>
          </w:tcPr>
          <w:p>
            <w:pPr>
              <w:spacing w:after="0"/>
              <w:rPr>
                <w:sz w:val="11"/>
                <w:szCs w:val="11"/>
                <w:color w:val="auto"/>
              </w:rPr>
            </w:pPr>
          </w:p>
        </w:tc>
        <w:tc>
          <w:tcPr>
            <w:tcW w:w="900" w:type="dxa"/>
            <w:vAlign w:val="bottom"/>
            <w:gridSpan w:val="3"/>
          </w:tcPr>
          <w:p>
            <w:pPr>
              <w:jc w:val="right"/>
              <w:ind w:right="280"/>
              <w:spacing w:after="0" w:line="130" w:lineRule="exact"/>
              <w:rPr>
                <w:sz w:val="20"/>
                <w:szCs w:val="20"/>
                <w:color w:val="auto"/>
              </w:rPr>
            </w:pPr>
            <w:r>
              <w:rPr>
                <w:rFonts w:ascii="Arial" w:cs="Arial" w:eastAsia="Arial" w:hAnsi="Arial"/>
                <w:sz w:val="12"/>
                <w:szCs w:val="12"/>
                <w:b w:val="1"/>
                <w:bCs w:val="1"/>
                <w:color w:val="auto"/>
                <w:w w:val="99"/>
              </w:rPr>
              <w:t>Number of</w:t>
            </w:r>
          </w:p>
        </w:tc>
        <w:tc>
          <w:tcPr>
            <w:tcW w:w="160" w:type="dxa"/>
            <w:vAlign w:val="bottom"/>
          </w:tcPr>
          <w:p>
            <w:pPr>
              <w:spacing w:after="0"/>
              <w:rPr>
                <w:sz w:val="11"/>
                <w:szCs w:val="11"/>
                <w:color w:val="auto"/>
              </w:rPr>
            </w:pPr>
          </w:p>
        </w:tc>
        <w:tc>
          <w:tcPr>
            <w:tcW w:w="960" w:type="dxa"/>
            <w:vAlign w:val="bottom"/>
            <w:gridSpan w:val="3"/>
          </w:tcPr>
          <w:p>
            <w:pPr>
              <w:jc w:val="center"/>
              <w:ind w:right="400"/>
              <w:spacing w:after="0" w:line="130" w:lineRule="exact"/>
              <w:rPr>
                <w:sz w:val="20"/>
                <w:szCs w:val="20"/>
                <w:color w:val="auto"/>
              </w:rPr>
            </w:pPr>
            <w:r>
              <w:rPr>
                <w:rFonts w:ascii="Arial" w:cs="Arial" w:eastAsia="Arial" w:hAnsi="Arial"/>
                <w:sz w:val="12"/>
                <w:szCs w:val="12"/>
                <w:b w:val="1"/>
                <w:bCs w:val="1"/>
                <w:color w:val="auto"/>
                <w:w w:val="94"/>
              </w:rPr>
              <w:t>price per</w:t>
            </w:r>
          </w:p>
        </w:tc>
        <w:tc>
          <w:tcPr>
            <w:tcW w:w="1020" w:type="dxa"/>
            <w:vAlign w:val="bottom"/>
            <w:gridSpan w:val="2"/>
          </w:tcPr>
          <w:p>
            <w:pPr>
              <w:jc w:val="center"/>
              <w:ind w:right="400"/>
              <w:spacing w:after="0" w:line="130" w:lineRule="exact"/>
              <w:rPr>
                <w:sz w:val="20"/>
                <w:szCs w:val="20"/>
                <w:color w:val="auto"/>
              </w:rPr>
            </w:pPr>
            <w:r>
              <w:rPr>
                <w:rFonts w:ascii="Arial" w:cs="Arial" w:eastAsia="Arial" w:hAnsi="Arial"/>
                <w:sz w:val="12"/>
                <w:szCs w:val="12"/>
                <w:b w:val="1"/>
                <w:bCs w:val="1"/>
                <w:color w:val="auto"/>
                <w:w w:val="95"/>
              </w:rPr>
              <w:t>term (in</w:t>
            </w:r>
          </w:p>
        </w:tc>
        <w:tc>
          <w:tcPr>
            <w:tcW w:w="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value (in</w:t>
            </w:r>
          </w:p>
        </w:tc>
      </w:tr>
      <w:tr>
        <w:trPr>
          <w:trHeight w:val="138"/>
        </w:trPr>
        <w:tc>
          <w:tcPr>
            <w:tcW w:w="4420" w:type="dxa"/>
            <w:vAlign w:val="bottom"/>
          </w:tcPr>
          <w:p>
            <w:pPr>
              <w:spacing w:after="0"/>
              <w:rPr>
                <w:sz w:val="12"/>
                <w:szCs w:val="1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2"/>
                <w:szCs w:val="12"/>
                <w:b w:val="1"/>
                <w:bCs w:val="1"/>
                <w:color w:val="auto"/>
              </w:rPr>
              <w:t>Warrants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9"/>
              </w:rPr>
              <w:t>share</w:t>
            </w:r>
          </w:p>
        </w:tc>
        <w:tc>
          <w:tcPr>
            <w:tcW w:w="10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6"/>
              </w:rPr>
              <w:t>years)</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w w:val="98"/>
              </w:rPr>
              <w:t>thousands)</w:t>
            </w:r>
          </w:p>
        </w:tc>
      </w:tr>
      <w:tr>
        <w:trPr>
          <w:trHeight w:val="153"/>
        </w:trPr>
        <w:tc>
          <w:tcPr>
            <w:tcW w:w="44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Outstanding, December 31, 2025</w:t>
            </w:r>
          </w:p>
        </w:tc>
        <w:tc>
          <w:tcPr>
            <w:tcW w:w="6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2,101,352</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5.68</w:t>
            </w:r>
          </w:p>
        </w:tc>
        <w:tc>
          <w:tcPr>
            <w:tcW w:w="4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ind w:left="420"/>
              <w:spacing w:after="0" w:line="153" w:lineRule="exact"/>
              <w:rPr>
                <w:sz w:val="20"/>
                <w:szCs w:val="20"/>
                <w:color w:val="auto"/>
              </w:rPr>
            </w:pPr>
            <w:r>
              <w:rPr>
                <w:rFonts w:ascii="Arial" w:cs="Arial" w:eastAsia="Arial" w:hAnsi="Arial"/>
                <w:sz w:val="14"/>
                <w:szCs w:val="14"/>
                <w:color w:val="auto"/>
                <w:w w:val="92"/>
              </w:rPr>
              <w:t>7.4</w:t>
            </w: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2,409</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4420" w:type="dxa"/>
            <w:vAlign w:val="bottom"/>
          </w:tcPr>
          <w:p>
            <w:pPr>
              <w:ind w:left="300"/>
              <w:spacing w:after="0"/>
              <w:rPr>
                <w:sz w:val="20"/>
                <w:szCs w:val="20"/>
                <w:color w:val="auto"/>
              </w:rPr>
            </w:pPr>
            <w:r>
              <w:rPr>
                <w:rFonts w:ascii="Arial" w:cs="Arial" w:eastAsia="Arial" w:hAnsi="Arial"/>
                <w:sz w:val="14"/>
                <w:szCs w:val="14"/>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2,294,798</w:t>
            </w:r>
          </w:p>
        </w:tc>
        <w:tc>
          <w:tcPr>
            <w:tcW w:w="200" w:type="dxa"/>
            <w:vAlign w:val="bottom"/>
          </w:tcPr>
          <w:p>
            <w:pPr>
              <w:spacing w:after="0"/>
              <w:rPr>
                <w:sz w:val="14"/>
                <w:szCs w:val="14"/>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6.00</w:t>
            </w:r>
          </w:p>
        </w:tc>
        <w:tc>
          <w:tcPr>
            <w:tcW w:w="1020" w:type="dxa"/>
            <w:vAlign w:val="bottom"/>
            <w:gridSpan w:val="2"/>
          </w:tcPr>
          <w:p>
            <w:pPr>
              <w:ind w:left="40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ind w:left="320"/>
              <w:spacing w:after="0"/>
              <w:rPr>
                <w:sz w:val="20"/>
                <w:szCs w:val="20"/>
                <w:color w:val="auto"/>
              </w:rPr>
            </w:pPr>
            <w:r>
              <w:rPr>
                <w:rFonts w:ascii="Arial" w:cs="Arial" w:eastAsia="Arial" w:hAnsi="Arial"/>
                <w:sz w:val="14"/>
                <w:szCs w:val="14"/>
                <w:color w:val="auto"/>
              </w:rPr>
              <w:t>— </w:t>
            </w:r>
          </w:p>
        </w:tc>
      </w:tr>
      <w:tr>
        <w:trPr>
          <w:trHeight w:val="162"/>
        </w:trPr>
        <w:tc>
          <w:tcPr>
            <w:tcW w:w="4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Forfeited</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(23,408)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6.97</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w:t>
            </w:r>
          </w:p>
        </w:tc>
      </w:tr>
      <w:tr>
        <w:trPr>
          <w:trHeight w:val="166"/>
        </w:trPr>
        <w:tc>
          <w:tcPr>
            <w:tcW w:w="4420" w:type="dxa"/>
            <w:vAlign w:val="bottom"/>
          </w:tcPr>
          <w:p>
            <w:pPr>
              <w:spacing w:after="0"/>
              <w:rPr>
                <w:sz w:val="20"/>
                <w:szCs w:val="20"/>
                <w:color w:val="auto"/>
              </w:rPr>
            </w:pPr>
            <w:r>
              <w:rPr>
                <w:rFonts w:ascii="Arial" w:cs="Arial" w:eastAsia="Arial" w:hAnsi="Arial"/>
                <w:sz w:val="14"/>
                <w:szCs w:val="14"/>
                <w:color w:val="auto"/>
              </w:rPr>
              <w:t>Outstanding, March 31, 2026</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4,372,742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5.84</w:t>
            </w: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28,045</w:t>
            </w:r>
          </w:p>
        </w:tc>
      </w:tr>
      <w:tr>
        <w:trPr>
          <w:trHeight w:val="162"/>
        </w:trPr>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Exercisable at March 31, 2026</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1,568,666</w:t>
            </w:r>
          </w:p>
        </w:tc>
        <w:tc>
          <w:tcPr>
            <w:tcW w:w="2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5.12</w:t>
            </w: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11,141</w:t>
            </w:r>
          </w:p>
        </w:tc>
      </w:tr>
      <w:tr>
        <w:trPr>
          <w:trHeight w:val="164"/>
        </w:trPr>
        <w:tc>
          <w:tcPr>
            <w:tcW w:w="4420" w:type="dxa"/>
            <w:vAlign w:val="bottom"/>
          </w:tcPr>
          <w:p>
            <w:pPr>
              <w:spacing w:after="0"/>
              <w:rPr>
                <w:sz w:val="20"/>
                <w:szCs w:val="20"/>
                <w:color w:val="auto"/>
              </w:rPr>
            </w:pPr>
            <w:r>
              <w:rPr>
                <w:rFonts w:ascii="Arial" w:cs="Arial" w:eastAsia="Arial" w:hAnsi="Arial"/>
                <w:sz w:val="14"/>
                <w:szCs w:val="14"/>
                <w:color w:val="auto"/>
              </w:rPr>
              <w:t>Vested and expected to vest, March 31, 2026</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4,372,742</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5.84</w:t>
            </w:r>
          </w:p>
        </w:tc>
        <w:tc>
          <w:tcPr>
            <w:tcW w:w="1020" w:type="dxa"/>
            <w:vAlign w:val="bottom"/>
            <w:gridSpan w:val="2"/>
          </w:tcPr>
          <w:p>
            <w:pPr>
              <w:ind w:left="42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28,045</w:t>
            </w:r>
          </w:p>
        </w:tc>
      </w:tr>
      <w:tr>
        <w:trPr>
          <w:trHeight w:val="20"/>
        </w:trPr>
        <w:tc>
          <w:tcPr>
            <w:tcW w:w="4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weighted-average grant date fair value of the shares underlying warrants granted during the three months ended March 31,</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2026 was $7.40 per share. The total fair value of the shares underlying warrants that vested during the three months ended March 31,</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2026 was $0.8 million.</w:t>
      </w:r>
    </w:p>
    <w:p>
      <w:pPr>
        <w:spacing w:after="0" w:line="24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Performance-Based Warrants</w:t>
      </w:r>
    </w:p>
    <w:p>
      <w:pPr>
        <w:spacing w:after="0" w:line="86" w:lineRule="exact"/>
        <w:rPr>
          <w:sz w:val="20"/>
          <w:szCs w:val="20"/>
          <w:color w:val="auto"/>
        </w:rPr>
      </w:pPr>
    </w:p>
    <w:p>
      <w:pPr>
        <w:ind w:left="1220" w:right="259" w:firstLine="353"/>
        <w:spacing w:after="0" w:line="252" w:lineRule="auto"/>
        <w:rPr>
          <w:sz w:val="20"/>
          <w:szCs w:val="20"/>
          <w:color w:val="auto"/>
        </w:rPr>
      </w:pPr>
      <w:r>
        <w:rPr>
          <w:rFonts w:ascii="Arial" w:cs="Arial" w:eastAsia="Arial" w:hAnsi="Arial"/>
          <w:sz w:val="14"/>
          <w:szCs w:val="14"/>
          <w:color w:val="auto"/>
        </w:rPr>
        <w:t>During 2022, the Company issued warrants to certain employees that included two components: (i) a performance condition that is achieved upon the separate closings of the Series A Convertible Preferred Shares, and (ii) a service condition where the employee provides service over a four-year period. Upon the final closing of the Series A Convertible Preferred Shares in January 2023, all performance conditions had been satisfied and the warrants were subject to ongoing service conditions. Equity-based compensation expense is recognized using an accelerated attribution method over the remaining requisite service period.</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86" w:lineRule="exact"/>
        <w:rPr>
          <w:sz w:val="20"/>
          <w:szCs w:val="20"/>
          <w:color w:val="auto"/>
        </w:rPr>
      </w:pPr>
    </w:p>
    <w:p>
      <w:pPr>
        <w:ind w:left="1220" w:right="179" w:firstLine="353"/>
        <w:spacing w:after="0" w:line="285" w:lineRule="auto"/>
        <w:rPr>
          <w:sz w:val="20"/>
          <w:szCs w:val="20"/>
          <w:color w:val="auto"/>
        </w:rPr>
      </w:pPr>
      <w:r>
        <w:rPr>
          <w:rFonts w:ascii="Arial" w:cs="Arial" w:eastAsia="Arial" w:hAnsi="Arial"/>
          <w:sz w:val="14"/>
          <w:szCs w:val="14"/>
          <w:color w:val="auto"/>
        </w:rPr>
        <w:t>Equity-based compensation expense recorded as research and development and general and administrative expenses is as follows (in thousands):</w:t>
      </w:r>
    </w:p>
    <w:p>
      <w:pPr>
        <w:spacing w:after="0" w:line="144" w:lineRule="exact"/>
        <w:rPr>
          <w:sz w:val="20"/>
          <w:szCs w:val="20"/>
          <w:color w:val="auto"/>
        </w:rPr>
      </w:pPr>
    </w:p>
    <w:tbl>
      <w:tblPr>
        <w:tblLayout w:type="fixed"/>
        <w:tblInd w:w="228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Three Months Ended March 31,</w:t>
            </w:r>
          </w:p>
        </w:tc>
      </w:tr>
      <w:tr>
        <w:trPr>
          <w:trHeight w:val="121"/>
        </w:trPr>
        <w:tc>
          <w:tcPr>
            <w:tcW w:w="3220" w:type="dxa"/>
            <w:vAlign w:val="bottom"/>
            <w:tcBorders>
              <w:bottom w:val="single" w:sz="8" w:color="CCEEFF"/>
            </w:tcBorders>
          </w:tcPr>
          <w:p>
            <w:pPr>
              <w:spacing w:after="0"/>
              <w:rPr>
                <w:sz w:val="10"/>
                <w:szCs w:val="10"/>
                <w:color w:val="auto"/>
              </w:rPr>
            </w:pPr>
          </w:p>
        </w:tc>
        <w:tc>
          <w:tcPr>
            <w:tcW w:w="14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34"/>
              <w:spacing w:after="0" w:line="121" w:lineRule="exact"/>
              <w:rPr>
                <w:sz w:val="20"/>
                <w:szCs w:val="20"/>
                <w:color w:val="auto"/>
              </w:rPr>
            </w:pPr>
            <w:r>
              <w:rPr>
                <w:rFonts w:ascii="Arial" w:cs="Arial" w:eastAsia="Arial" w:hAnsi="Arial"/>
                <w:sz w:val="12"/>
                <w:szCs w:val="12"/>
                <w:b w:val="1"/>
                <w:bCs w:val="1"/>
                <w:color w:val="auto"/>
              </w:rPr>
              <w:t>2026</w:t>
            </w:r>
          </w:p>
        </w:tc>
        <w:tc>
          <w:tcPr>
            <w:tcW w:w="26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31"/>
              <w:spacing w:after="0" w:line="121" w:lineRule="exact"/>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0"/>
                <w:szCs w:val="10"/>
                <w:color w:val="auto"/>
              </w:rPr>
            </w:pPr>
          </w:p>
        </w:tc>
      </w:tr>
      <w:tr>
        <w:trPr>
          <w:trHeight w:val="153"/>
        </w:trPr>
        <w:tc>
          <w:tcPr>
            <w:tcW w:w="32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Research and development</w:t>
            </w:r>
          </w:p>
        </w:tc>
        <w:tc>
          <w:tcPr>
            <w:tcW w:w="14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565</w:t>
            </w: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180</w:t>
            </w:r>
          </w:p>
        </w:tc>
        <w:tc>
          <w:tcPr>
            <w:tcW w:w="40" w:type="dxa"/>
            <w:vAlign w:val="bottom"/>
            <w:shd w:val="clear" w:color="auto" w:fill="CCEEFF"/>
          </w:tcPr>
          <w:p>
            <w:pPr>
              <w:spacing w:after="0"/>
              <w:rPr>
                <w:sz w:val="13"/>
                <w:szCs w:val="13"/>
                <w:color w:val="auto"/>
              </w:rPr>
            </w:pPr>
          </w:p>
        </w:tc>
      </w:tr>
      <w:tr>
        <w:trPr>
          <w:trHeight w:val="164"/>
        </w:trPr>
        <w:tc>
          <w:tcPr>
            <w:tcW w:w="3220" w:type="dxa"/>
            <w:vAlign w:val="bottom"/>
          </w:tcPr>
          <w:p>
            <w:pPr>
              <w:spacing w:after="0"/>
              <w:rPr>
                <w:sz w:val="20"/>
                <w:szCs w:val="20"/>
                <w:color w:val="auto"/>
              </w:rPr>
            </w:pPr>
            <w:r>
              <w:rPr>
                <w:rFonts w:ascii="Arial" w:cs="Arial" w:eastAsia="Arial" w:hAnsi="Arial"/>
                <w:sz w:val="14"/>
                <w:szCs w:val="14"/>
                <w:color w:val="auto"/>
              </w:rPr>
              <w:t>General and administrative</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40" w:type="dxa"/>
            <w:vAlign w:val="bottom"/>
          </w:tcPr>
          <w:p>
            <w:pPr>
              <w:spacing w:after="0"/>
              <w:rPr>
                <w:sz w:val="14"/>
                <w:szCs w:val="14"/>
                <w:color w:val="auto"/>
              </w:rPr>
            </w:pPr>
          </w:p>
        </w:tc>
      </w:tr>
      <w:tr>
        <w:trPr>
          <w:trHeight w:val="162"/>
        </w:trPr>
        <w:tc>
          <w:tcPr>
            <w:tcW w:w="32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1,318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40" w:type="dxa"/>
            <w:vAlign w:val="bottom"/>
            <w:shd w:val="clear" w:color="auto" w:fill="CCEEFF"/>
          </w:tcPr>
          <w:p>
            <w:pPr>
              <w:spacing w:after="0"/>
              <w:rPr>
                <w:sz w:val="14"/>
                <w:szCs w:val="14"/>
                <w:color w:val="auto"/>
              </w:rPr>
            </w:pPr>
          </w:p>
        </w:tc>
      </w:tr>
      <w:tr>
        <w:trPr>
          <w:trHeight w:val="20"/>
        </w:trPr>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119" w:firstLine="353"/>
        <w:spacing w:after="0" w:line="285" w:lineRule="auto"/>
        <w:rPr>
          <w:sz w:val="20"/>
          <w:szCs w:val="20"/>
          <w:color w:val="auto"/>
        </w:rPr>
      </w:pPr>
      <w:r>
        <w:rPr>
          <w:rFonts w:ascii="Arial" w:cs="Arial" w:eastAsia="Arial" w:hAnsi="Arial"/>
          <w:sz w:val="14"/>
          <w:szCs w:val="14"/>
          <w:color w:val="auto"/>
        </w:rPr>
        <w:t>As of March 31, 2026, the total unrecognized compensation expense related to the Company’s warrants was $18.8 million, which the Company expects to recognize over a weighted-average period of approximately 3.4 years.</w:t>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12. Net Loss Per Share</w:t>
      </w:r>
    </w:p>
    <w:p>
      <w:pPr>
        <w:spacing w:after="0" w:line="88" w:lineRule="exact"/>
        <w:rPr>
          <w:sz w:val="20"/>
          <w:szCs w:val="20"/>
          <w:color w:val="auto"/>
        </w:rPr>
      </w:pPr>
    </w:p>
    <w:p>
      <w:pPr>
        <w:ind w:left="1220" w:right="159" w:firstLine="353"/>
        <w:spacing w:after="0" w:line="263" w:lineRule="auto"/>
        <w:rPr>
          <w:sz w:val="20"/>
          <w:szCs w:val="20"/>
          <w:color w:val="auto"/>
        </w:rPr>
      </w:pPr>
      <w:r>
        <w:rPr>
          <w:rFonts w:ascii="Arial" w:cs="Arial" w:eastAsia="Arial" w:hAnsi="Arial"/>
          <w:sz w:val="14"/>
          <w:szCs w:val="14"/>
          <w:color w:val="auto"/>
        </w:rPr>
        <w:t>The following table sets forth the outstanding shares of common stock and ordinary share equivalents, presented based on amounts outstanding at each period end, that were excluded from the calculation of diluted net loss per share for the periods indicated because including them would have been anti-dilutive:</w:t>
      </w:r>
    </w:p>
    <w:p>
      <w:pPr>
        <w:spacing w:after="0" w:line="159" w:lineRule="exact"/>
        <w:rPr>
          <w:sz w:val="20"/>
          <w:szCs w:val="20"/>
          <w:color w:val="auto"/>
        </w:rPr>
      </w:pPr>
    </w:p>
    <w:tbl>
      <w:tblPr>
        <w:tblLayout w:type="fixed"/>
        <w:tblInd w:w="228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w w:val="99"/>
              </w:rPr>
              <w:t>Three Months Ended March 31,</w:t>
            </w:r>
          </w:p>
        </w:tc>
      </w:tr>
      <w:tr>
        <w:trPr>
          <w:trHeight w:val="121"/>
        </w:trPr>
        <w:tc>
          <w:tcPr>
            <w:tcW w:w="4920" w:type="dxa"/>
            <w:vAlign w:val="bottom"/>
            <w:tcBorders>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13"/>
              <w:spacing w:after="0" w:line="121" w:lineRule="exact"/>
              <w:rPr>
                <w:sz w:val="20"/>
                <w:szCs w:val="20"/>
                <w:color w:val="auto"/>
              </w:rPr>
            </w:pPr>
            <w:r>
              <w:rPr>
                <w:rFonts w:ascii="Arial" w:cs="Arial" w:eastAsia="Arial" w:hAnsi="Arial"/>
                <w:sz w:val="12"/>
                <w:szCs w:val="12"/>
                <w:b w:val="1"/>
                <w:bCs w:val="1"/>
                <w:color w:val="auto"/>
              </w:rPr>
              <w:t>2026</w:t>
            </w:r>
          </w:p>
        </w:tc>
        <w:tc>
          <w:tcPr>
            <w:tcW w:w="160" w:type="dxa"/>
            <w:vAlign w:val="bottom"/>
            <w:tcBorders>
              <w:top w:val="single" w:sz="8" w:color="auto"/>
              <w:bottom w:val="single" w:sz="8" w:color="CCEEFF"/>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11"/>
              <w:spacing w:after="0" w:line="121" w:lineRule="exact"/>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0"/>
                <w:szCs w:val="10"/>
                <w:color w:val="auto"/>
              </w:rPr>
            </w:pPr>
          </w:p>
        </w:tc>
      </w:tr>
      <w:tr>
        <w:trPr>
          <w:trHeight w:val="153"/>
        </w:trPr>
        <w:tc>
          <w:tcPr>
            <w:tcW w:w="492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Convertible preference shares</w:t>
            </w:r>
          </w:p>
        </w:tc>
        <w:tc>
          <w:tcPr>
            <w:tcW w:w="8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15,211,108</w:t>
            </w:r>
          </w:p>
        </w:tc>
        <w:tc>
          <w:tcPr>
            <w:tcW w:w="40" w:type="dxa"/>
            <w:vAlign w:val="bottom"/>
            <w:shd w:val="clear" w:color="auto" w:fill="CCEEFF"/>
          </w:tcPr>
          <w:p>
            <w:pPr>
              <w:spacing w:after="0"/>
              <w:rPr>
                <w:sz w:val="13"/>
                <w:szCs w:val="13"/>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800" w:type="dxa"/>
            <w:vAlign w:val="bottom"/>
          </w:tcPr>
          <w:p>
            <w:pPr>
              <w:jc w:val="right"/>
              <w:spacing w:after="0"/>
              <w:rPr>
                <w:sz w:val="20"/>
                <w:szCs w:val="20"/>
                <w:color w:val="auto"/>
              </w:rPr>
            </w:pPr>
            <w:r>
              <w:rPr>
                <w:rFonts w:ascii="Arial" w:cs="Arial" w:eastAsia="Arial" w:hAnsi="Arial"/>
                <w:sz w:val="14"/>
                <w:szCs w:val="14"/>
                <w:color w:val="auto"/>
              </w:rPr>
              <w:t>26,496,910</w:t>
            </w:r>
          </w:p>
        </w:tc>
        <w:tc>
          <w:tcPr>
            <w:tcW w:w="160" w:type="dxa"/>
            <w:vAlign w:val="bottom"/>
          </w:tcPr>
          <w:p>
            <w:pPr>
              <w:spacing w:after="0"/>
              <w:rPr>
                <w:sz w:val="14"/>
                <w:szCs w:val="14"/>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— </w:t>
            </w:r>
          </w:p>
        </w:tc>
      </w:tr>
      <w:tr>
        <w:trPr>
          <w:trHeight w:val="162"/>
        </w:trPr>
        <w:tc>
          <w:tcPr>
            <w:tcW w:w="4920" w:type="dxa"/>
            <w:vAlign w:val="bottom"/>
            <w:shd w:val="clear" w:color="auto" w:fill="CCEEFF"/>
          </w:tcPr>
          <w:p>
            <w:pPr>
              <w:spacing w:after="0"/>
              <w:rPr>
                <w:sz w:val="20"/>
                <w:szCs w:val="20"/>
                <w:color w:val="auto"/>
              </w:rPr>
            </w:pPr>
            <w:r>
              <w:rPr>
                <w:rFonts w:ascii="Arial" w:cs="Arial" w:eastAsia="Arial" w:hAnsi="Arial"/>
                <w:sz w:val="14"/>
                <w:szCs w:val="14"/>
                <w:color w:val="auto"/>
              </w:rPr>
              <w:t>Warrants to purchase ordinary shares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2,001,010</w:t>
            </w:r>
          </w:p>
        </w:tc>
      </w:tr>
      <w:tr>
        <w:trPr>
          <w:trHeight w:val="191"/>
        </w:trPr>
        <w:tc>
          <w:tcPr>
            <w:tcW w:w="4920" w:type="dxa"/>
            <w:vAlign w:val="bottom"/>
          </w:tcPr>
          <w:p>
            <w:pPr>
              <w:spacing w:after="0"/>
              <w:rPr>
                <w:sz w:val="20"/>
                <w:szCs w:val="20"/>
                <w:color w:val="auto"/>
              </w:rPr>
            </w:pPr>
            <w:r>
              <w:rPr>
                <w:rFonts w:ascii="Arial" w:cs="Arial" w:eastAsia="Arial" w:hAnsi="Arial"/>
                <w:sz w:val="14"/>
                <w:szCs w:val="14"/>
                <w:color w:val="auto"/>
              </w:rPr>
              <w:t>Warrants to purchase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4,372,742</w:t>
            </w: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— </w:t>
            </w:r>
          </w:p>
        </w:tc>
      </w:tr>
    </w:tbl>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13. Segment Reporting</w:t>
      </w:r>
    </w:p>
    <w:p>
      <w:pPr>
        <w:spacing w:after="0" w:line="88" w:lineRule="exact"/>
        <w:rPr>
          <w:sz w:val="20"/>
          <w:szCs w:val="20"/>
          <w:color w:val="auto"/>
        </w:rPr>
      </w:pPr>
    </w:p>
    <w:p>
      <w:pPr>
        <w:ind w:left="1220" w:right="159" w:firstLine="353"/>
        <w:spacing w:after="0" w:line="248" w:lineRule="auto"/>
        <w:rPr>
          <w:sz w:val="20"/>
          <w:szCs w:val="20"/>
          <w:color w:val="auto"/>
        </w:rPr>
      </w:pPr>
      <w:r>
        <w:rPr>
          <w:rFonts w:ascii="Arial" w:cs="Arial" w:eastAsia="Arial" w:hAnsi="Arial"/>
          <w:sz w:val="14"/>
          <w:szCs w:val="14"/>
          <w:color w:val="auto"/>
        </w:rPr>
        <w:t>The Company has one operating segment. The Company’s operating segment is engaged in the research and development of prophylactic therapeutics for bleeding disorders. The Company’s Chief Executive Officer and Chief Financial Officer/General Manager are together considered the Company’s CODM and together manage the Company’s operations on a consolidated basis for the purposes of assessing performance and allocating resources based on net loss that also is reported on the consolidated statement of operations as consolidated net loss. This financial metric is used by the CODM to make key operating decisions such as the allocation of capital between program expenses, early-stage discovery expenses, and general and administrative expense, including headcount and facilities decisions. The measure of segment assets is reported on the balance sheet as total consolidated assets. The following table presents long-lived assets by geographic location as of March 31, 2026 and 2025 (in thousands):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415"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9" w:lineRule="exact"/>
        <w:rPr>
          <w:sz w:val="20"/>
          <w:szCs w:val="20"/>
          <w:color w:val="auto"/>
        </w:rPr>
      </w:pPr>
    </w:p>
    <w:tbl>
      <w:tblPr>
        <w:tblLayout w:type="fixed"/>
        <w:tblInd w:w="228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ind w:left="20"/>
              <w:spacing w:after="0"/>
              <w:rPr>
                <w:sz w:val="20"/>
                <w:szCs w:val="20"/>
                <w:color w:val="auto"/>
              </w:rPr>
            </w:pPr>
            <w:r>
              <w:rPr>
                <w:rFonts w:ascii="Arial" w:cs="Arial" w:eastAsia="Arial" w:hAnsi="Arial"/>
                <w:sz w:val="12"/>
                <w:szCs w:val="12"/>
                <w:b w:val="1"/>
                <w:bCs w:val="1"/>
                <w:color w:val="auto"/>
              </w:rPr>
              <w:t>Three Months Ended March 31,</w:t>
            </w:r>
          </w:p>
        </w:tc>
      </w:tr>
      <w:tr>
        <w:trPr>
          <w:trHeight w:val="121"/>
        </w:trPr>
        <w:tc>
          <w:tcPr>
            <w:tcW w:w="474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74"/>
              <w:spacing w:after="0" w:line="121" w:lineRule="exact"/>
              <w:rPr>
                <w:sz w:val="20"/>
                <w:szCs w:val="20"/>
                <w:color w:val="auto"/>
              </w:rPr>
            </w:pPr>
            <w:r>
              <w:rPr>
                <w:rFonts w:ascii="Arial" w:cs="Arial" w:eastAsia="Arial" w:hAnsi="Arial"/>
                <w:sz w:val="12"/>
                <w:szCs w:val="12"/>
                <w:b w:val="1"/>
                <w:bCs w:val="1"/>
                <w:color w:val="auto"/>
              </w:rPr>
              <w:t>2026</w:t>
            </w:r>
          </w:p>
        </w:tc>
        <w:tc>
          <w:tcPr>
            <w:tcW w:w="44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91"/>
              <w:spacing w:after="0" w:line="121" w:lineRule="exact"/>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CCEEFF"/>
            </w:tcBorders>
          </w:tcPr>
          <w:p>
            <w:pPr>
              <w:spacing w:after="0"/>
              <w:rPr>
                <w:sz w:val="10"/>
                <w:szCs w:val="10"/>
                <w:color w:val="auto"/>
              </w:rPr>
            </w:pPr>
          </w:p>
        </w:tc>
      </w:tr>
      <w:tr>
        <w:trPr>
          <w:trHeight w:val="153"/>
        </w:trPr>
        <w:tc>
          <w:tcPr>
            <w:tcW w:w="474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rPr>
              <w:t>United States of America</w:t>
            </w:r>
          </w:p>
        </w:tc>
        <w:tc>
          <w:tcPr>
            <w:tcW w:w="1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348</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786</w:t>
            </w:r>
          </w:p>
        </w:tc>
        <w:tc>
          <w:tcPr>
            <w:tcW w:w="40" w:type="dxa"/>
            <w:vAlign w:val="bottom"/>
            <w:shd w:val="clear" w:color="auto" w:fill="CCEEFF"/>
          </w:tcPr>
          <w:p>
            <w:pPr>
              <w:spacing w:after="0"/>
              <w:rPr>
                <w:sz w:val="13"/>
                <w:szCs w:val="13"/>
                <w:color w:val="auto"/>
              </w:rPr>
            </w:pPr>
          </w:p>
        </w:tc>
      </w:tr>
      <w:tr>
        <w:trPr>
          <w:trHeight w:val="164"/>
        </w:trPr>
        <w:tc>
          <w:tcPr>
            <w:tcW w:w="4740" w:type="dxa"/>
            <w:vAlign w:val="bottom"/>
          </w:tcPr>
          <w:p>
            <w:pPr>
              <w:spacing w:after="0"/>
              <w:rPr>
                <w:sz w:val="20"/>
                <w:szCs w:val="20"/>
                <w:color w:val="auto"/>
              </w:rPr>
            </w:pPr>
            <w:r>
              <w:rPr>
                <w:rFonts w:ascii="Arial" w:cs="Arial" w:eastAsia="Arial" w:hAnsi="Arial"/>
                <w:sz w:val="14"/>
                <w:szCs w:val="14"/>
                <w:color w:val="auto"/>
              </w:rPr>
              <w:t>Denmark</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1,239</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w:t>
            </w:r>
          </w:p>
        </w:tc>
        <w:tc>
          <w:tcPr>
            <w:tcW w:w="4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w:t>
            </w:r>
          </w:p>
        </w:tc>
        <w:tc>
          <w:tcPr>
            <w:tcW w:w="6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2,368</w:t>
            </w:r>
          </w:p>
        </w:tc>
      </w:tr>
      <w:tr>
        <w:trPr>
          <w:trHeight w:val="20"/>
        </w:trPr>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499" w:firstLine="353"/>
        <w:spacing w:after="0" w:line="285" w:lineRule="auto"/>
        <w:rPr>
          <w:sz w:val="20"/>
          <w:szCs w:val="20"/>
          <w:color w:val="auto"/>
        </w:rPr>
      </w:pPr>
      <w:r>
        <w:rPr>
          <w:rFonts w:ascii="Arial" w:cs="Arial" w:eastAsia="Arial" w:hAnsi="Arial"/>
          <w:sz w:val="14"/>
          <w:szCs w:val="14"/>
          <w:color w:val="auto"/>
        </w:rPr>
        <w:t>The following table presents selected financial information about the Company’s single operating segment for the three months ended March 31, 2026 and 2025 (in thousands):</w:t>
      </w:r>
    </w:p>
    <w:p>
      <w:pPr>
        <w:spacing w:after="0" w:line="144" w:lineRule="exact"/>
        <w:rPr>
          <w:sz w:val="20"/>
          <w:szCs w:val="20"/>
          <w:color w:val="auto"/>
        </w:rPr>
      </w:pPr>
    </w:p>
    <w:tbl>
      <w:tblPr>
        <w:tblLayout w:type="fixed"/>
        <w:tblInd w:w="228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w w:val="94"/>
              </w:rPr>
              <w:t>Three Months Ended 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80" w:type="dxa"/>
            <w:vAlign w:val="bottom"/>
            <w:tcBorders>
              <w:top w:val="single" w:sz="8" w:color="auto"/>
            </w:tcBorders>
          </w:tcPr>
          <w:p>
            <w:pPr>
              <w:ind w:left="20"/>
              <w:spacing w:after="0" w:line="121" w:lineRule="exact"/>
              <w:rPr>
                <w:sz w:val="20"/>
                <w:szCs w:val="20"/>
                <w:color w:val="auto"/>
              </w:rPr>
            </w:pPr>
            <w:r>
              <w:rPr>
                <w:rFonts w:ascii="Arial" w:cs="Arial" w:eastAsia="Arial" w:hAnsi="Arial"/>
                <w:sz w:val="12"/>
                <w:szCs w:val="12"/>
                <w:b w:val="1"/>
                <w:bCs w:val="1"/>
                <w:color w:val="auto"/>
              </w:rPr>
              <w:t xml:space="preserve">   </w:t>
            </w:r>
          </w:p>
        </w:tc>
        <w:tc>
          <w:tcPr>
            <w:tcW w:w="860" w:type="dxa"/>
            <w:vAlign w:val="bottom"/>
            <w:tcBorders>
              <w:top w:val="single" w:sz="8" w:color="auto"/>
            </w:tcBorders>
            <w:gridSpan w:val="2"/>
          </w:tcPr>
          <w:p>
            <w:pPr>
              <w:jc w:val="right"/>
              <w:ind w:right="380"/>
              <w:spacing w:after="0" w:line="121" w:lineRule="exact"/>
              <w:rPr>
                <w:sz w:val="20"/>
                <w:szCs w:val="20"/>
                <w:color w:val="auto"/>
              </w:rPr>
            </w:pPr>
            <w:r>
              <w:rPr>
                <w:rFonts w:ascii="Arial" w:cs="Arial" w:eastAsia="Arial" w:hAnsi="Arial"/>
                <w:sz w:val="12"/>
                <w:szCs w:val="12"/>
                <w:b w:val="1"/>
                <w:bCs w:val="1"/>
                <w:color w:val="auto"/>
              </w:rPr>
              <w:t xml:space="preserve">2026   </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 xml:space="preserve">   </w:t>
            </w:r>
          </w:p>
        </w:tc>
        <w:tc>
          <w:tcPr>
            <w:tcW w:w="560" w:type="dxa"/>
            <w:vAlign w:val="bottom"/>
            <w:tcBorders>
              <w:top w:val="single" w:sz="8" w:color="auto"/>
            </w:tcBorders>
          </w:tcPr>
          <w:p>
            <w:pPr>
              <w:jc w:val="right"/>
              <w:ind w:right="49"/>
              <w:spacing w:after="0" w:line="121" w:lineRule="exact"/>
              <w:rPr>
                <w:sz w:val="20"/>
                <w:szCs w:val="20"/>
                <w:color w:val="auto"/>
              </w:rPr>
            </w:pPr>
            <w:r>
              <w:rPr>
                <w:rFonts w:ascii="Arial" w:cs="Arial" w:eastAsia="Arial" w:hAnsi="Arial"/>
                <w:sz w:val="12"/>
                <w:szCs w:val="12"/>
                <w:b w:val="1"/>
                <w:bCs w:val="1"/>
                <w:color w:val="auto"/>
              </w:rPr>
              <w:t xml:space="preserve">2025   </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Operating Expenses</w:t>
            </w:r>
            <w:r>
              <w:rPr>
                <w:rFonts w:ascii="Arial" w:cs="Arial" w:eastAsia="Arial" w:hAnsi="Arial"/>
                <w:sz w:val="8"/>
                <w:szCs w:val="8"/>
                <w:color w:val="auto"/>
              </w:rPr>
              <w:t>(a)</w:t>
            </w: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tcPr>
          <w:p>
            <w:pPr>
              <w:spacing w:after="0" w:line="148" w:lineRule="exact"/>
              <w:rPr>
                <w:sz w:val="20"/>
                <w:szCs w:val="20"/>
                <w:color w:val="auto"/>
              </w:rPr>
            </w:pPr>
            <w:r>
              <w:rPr>
                <w:rFonts w:ascii="Arial" w:cs="Arial" w:eastAsia="Arial" w:hAnsi="Arial"/>
                <w:sz w:val="14"/>
                <w:szCs w:val="14"/>
                <w:color w:val="auto"/>
              </w:rPr>
              <w:t>Research and development personnel-related (excluding equity-</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560" w:type="dxa"/>
            <w:vAlign w:val="bottom"/>
          </w:tcPr>
          <w:p>
            <w:pPr>
              <w:ind w:left="140"/>
              <w:spacing w:after="0"/>
              <w:rPr>
                <w:sz w:val="20"/>
                <w:szCs w:val="20"/>
                <w:color w:val="auto"/>
              </w:rPr>
            </w:pPr>
            <w:r>
              <w:rPr>
                <w:rFonts w:ascii="Arial" w:cs="Arial" w:eastAsia="Arial" w:hAnsi="Arial"/>
                <w:sz w:val="14"/>
                <w:szCs w:val="14"/>
                <w:color w:val="auto"/>
              </w:rPr>
              <w:t>based compensation)</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4,701</w:t>
            </w:r>
          </w:p>
        </w:tc>
        <w:tc>
          <w:tcPr>
            <w:tcW w:w="440" w:type="dxa"/>
            <w:vAlign w:val="bottom"/>
            <w:gridSpan w:val="2"/>
          </w:tcPr>
          <w:p>
            <w:pPr>
              <w:jc w:val="right"/>
              <w:ind w:right="75"/>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External research and development costs – sutacimig</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5,795</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External research and development costs – HMB-002</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3,506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External – discovery related costs and other</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4,894</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Personnel-related (excluding equity-based compensation)</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1,032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External – general and administrative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2,298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1,318</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Depreciation expense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Other segment (income) expenses</w:t>
            </w:r>
            <w:r>
              <w:rPr>
                <w:rFonts w:ascii="Arial" w:cs="Arial" w:eastAsia="Arial" w:hAnsi="Arial"/>
                <w:sz w:val="8"/>
                <w:szCs w:val="8"/>
                <w:color w:val="auto"/>
              </w:rPr>
              <w:t>(b)</w:t>
            </w:r>
          </w:p>
        </w:tc>
        <w:tc>
          <w:tcPr>
            <w:tcW w:w="1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282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(1,219)</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color w:val="auto"/>
              </w:rPr>
              <w:t>Consolidated net loss</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22,687</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580" w:hanging="351"/>
        <w:spacing w:after="0"/>
        <w:tabs>
          <w:tab w:leader="none" w:pos="1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significant expense categories and amounts align with the segment-level information that is regularly provided to the CODM.</w:t>
      </w:r>
    </w:p>
    <w:p>
      <w:pPr>
        <w:spacing w:after="0" w:line="15" w:lineRule="exact"/>
        <w:rPr>
          <w:rFonts w:ascii="Arial" w:cs="Arial" w:eastAsia="Arial" w:hAnsi="Arial"/>
          <w:sz w:val="14"/>
          <w:szCs w:val="14"/>
          <w:color w:val="auto"/>
        </w:rPr>
      </w:pPr>
    </w:p>
    <w:p>
      <w:pPr>
        <w:ind w:left="1580" w:hanging="351"/>
        <w:spacing w:after="0"/>
        <w:tabs>
          <w:tab w:leader="none" w:pos="1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segment expenses include foreign currency exchange loss and other income/expense.</w:t>
      </w:r>
    </w:p>
    <w:p>
      <w:pPr>
        <w:spacing w:after="0" w:line="24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14. Subsequent Events</w:t>
      </w:r>
    </w:p>
    <w:p>
      <w:pPr>
        <w:spacing w:after="0" w:line="88" w:lineRule="exact"/>
        <w:rPr>
          <w:sz w:val="20"/>
          <w:szCs w:val="20"/>
          <w:color w:val="auto"/>
        </w:rPr>
      </w:pPr>
    </w:p>
    <w:p>
      <w:pPr>
        <w:ind w:left="1220" w:right="219" w:firstLine="353"/>
        <w:spacing w:after="0" w:line="263" w:lineRule="auto"/>
        <w:rPr>
          <w:sz w:val="20"/>
          <w:szCs w:val="20"/>
          <w:color w:val="auto"/>
        </w:rPr>
      </w:pPr>
      <w:r>
        <w:rPr>
          <w:rFonts w:ascii="Arial" w:cs="Arial" w:eastAsia="Arial" w:hAnsi="Arial"/>
          <w:sz w:val="14"/>
          <w:szCs w:val="14"/>
          <w:color w:val="auto"/>
        </w:rPr>
        <w:t>The Company evaluated subsequent events through the date on which these financial statements were issued to ensure that these condensed consolidated financial statements include appropriate disclosure of events both recognized in the financial statements as of March 31, 2026 and events which occurred subsequently but not recognized in the financial statements.</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Corporate Reorganization</w:t>
      </w:r>
    </w:p>
    <w:p>
      <w:pPr>
        <w:spacing w:after="0" w:line="86" w:lineRule="exact"/>
        <w:rPr>
          <w:sz w:val="20"/>
          <w:szCs w:val="20"/>
          <w:color w:val="auto"/>
        </w:rPr>
      </w:pPr>
    </w:p>
    <w:p>
      <w:pPr>
        <w:ind w:left="1220" w:right="159" w:firstLine="353"/>
        <w:spacing w:after="0" w:line="253" w:lineRule="auto"/>
        <w:rPr>
          <w:sz w:val="20"/>
          <w:szCs w:val="20"/>
          <w:color w:val="auto"/>
        </w:rPr>
      </w:pPr>
      <w:r>
        <w:rPr>
          <w:rFonts w:ascii="Arial" w:cs="Arial" w:eastAsia="Arial" w:hAnsi="Arial"/>
          <w:sz w:val="14"/>
          <w:szCs w:val="14"/>
          <w:color w:val="auto"/>
        </w:rPr>
        <w:t>On April 1, 2026, following the corporate reorganization, on March 31, 2026,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 See Note 1 titled “Description of Business and Liquidity—Corporate Reorganization” for additional information on the corporate reorganization.</w:t>
      </w:r>
    </w:p>
    <w:p>
      <w:pPr>
        <w:spacing w:after="0" w:line="39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86" w:lineRule="exact"/>
        <w:rPr>
          <w:sz w:val="20"/>
          <w:szCs w:val="20"/>
          <w:color w:val="auto"/>
        </w:rPr>
      </w:pPr>
    </w:p>
    <w:p>
      <w:pPr>
        <w:ind w:left="1220" w:right="259" w:firstLine="353"/>
        <w:spacing w:after="0" w:line="252" w:lineRule="auto"/>
        <w:rPr>
          <w:sz w:val="20"/>
          <w:szCs w:val="20"/>
          <w:color w:val="auto"/>
        </w:rPr>
      </w:pPr>
      <w:r>
        <w:rPr>
          <w:rFonts w:ascii="Arial" w:cs="Arial" w:eastAsia="Arial" w:hAnsi="Arial"/>
          <w:sz w:val="14"/>
          <w:szCs w:val="14"/>
          <w:color w:val="auto"/>
        </w:rPr>
        <w:t>On May 4, 2026, the Company completed the IPO of 19,262,500 shares of its common stock, which included the exercise in full by the underwriters of their option to purchase 2,512,500 additional shares of common stock, at a public offering price of $18.00 per share. The net proceeds to the Company from the IPO were approximately $317.2 million after deducting underwriting discounts and commissions and offering expenses payable by the Company. In connection with the completion of the IPO, all shares of the Company’s preferred stock were converted into 26,496,910 shares of common stock, and no shares of preferred stock were thereafter outstanding.</w:t>
      </w:r>
    </w:p>
    <w:p>
      <w:pPr>
        <w:spacing w:after="0" w:line="139" w:lineRule="exact"/>
        <w:rPr>
          <w:sz w:val="20"/>
          <w:szCs w:val="20"/>
          <w:color w:val="auto"/>
        </w:rPr>
      </w:pPr>
    </w:p>
    <w:p>
      <w:pPr>
        <w:ind w:left="1220" w:right="379" w:firstLine="353"/>
        <w:spacing w:after="0" w:line="263" w:lineRule="auto"/>
        <w:rPr>
          <w:sz w:val="20"/>
          <w:szCs w:val="20"/>
          <w:color w:val="auto"/>
        </w:rPr>
      </w:pPr>
      <w:r>
        <w:rPr>
          <w:rFonts w:ascii="Arial" w:cs="Arial" w:eastAsia="Arial" w:hAnsi="Arial"/>
          <w:sz w:val="14"/>
          <w:szCs w:val="14"/>
          <w:color w:val="auto"/>
        </w:rPr>
        <w:t>In connection with the closing of the IPO, on May 4, 2026, the Company’s filed a restated certificate of incorporation with the Secretary of State of the State of Delaware, which authorizes 400,000,000 shares of common stock, par value $0.0001 per share, and 5,000,000 shares of undesignated preferred stock, par value $0.0001 per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159"/>
          </w:cols>
          <w:pgMar w:left="300" w:top="41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Stock Split</w:t>
      </w:r>
    </w:p>
    <w:p>
      <w:pPr>
        <w:spacing w:after="0" w:line="86" w:lineRule="exact"/>
        <w:rPr>
          <w:sz w:val="20"/>
          <w:szCs w:val="20"/>
          <w:color w:val="auto"/>
        </w:rPr>
      </w:pPr>
    </w:p>
    <w:p>
      <w:pPr>
        <w:ind w:left="1220" w:right="199" w:firstLine="353"/>
        <w:spacing w:after="0" w:line="252" w:lineRule="auto"/>
        <w:rPr>
          <w:sz w:val="20"/>
          <w:szCs w:val="20"/>
          <w:color w:val="auto"/>
        </w:rPr>
      </w:pPr>
      <w:r>
        <w:rPr>
          <w:rFonts w:ascii="Arial" w:cs="Arial" w:eastAsia="Arial" w:hAnsi="Arial"/>
          <w:sz w:val="14"/>
          <w:szCs w:val="14"/>
          <w:color w:val="auto"/>
        </w:rPr>
        <w:t>The Company’s board of directors and stockholders approved a 22-for-one forward stock split of the Company’s issued and outstanding common stock and a proportional adjustment to the existing conversion ratios for the outstanding shares of convertible preferred stock, which became effective on April 24, 2026. Accordingly, all share and per share amounts for all periods presented in the accompanying condensed consolidated financial statements and the notes thereto have been retroactively adjusted, where applicable, to reflect the stock split.</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2026 Equity Plans</w:t>
      </w:r>
    </w:p>
    <w:p>
      <w:pPr>
        <w:spacing w:after="0" w:line="86" w:lineRule="exact"/>
        <w:rPr>
          <w:sz w:val="20"/>
          <w:szCs w:val="20"/>
          <w:color w:val="auto"/>
        </w:rPr>
      </w:pPr>
    </w:p>
    <w:p>
      <w:pPr>
        <w:ind w:left="1220" w:right="239" w:firstLine="353"/>
        <w:spacing w:after="0" w:line="252" w:lineRule="auto"/>
        <w:rPr>
          <w:sz w:val="20"/>
          <w:szCs w:val="20"/>
          <w:color w:val="auto"/>
        </w:rPr>
      </w:pPr>
      <w:r>
        <w:rPr>
          <w:rFonts w:ascii="Arial" w:cs="Arial" w:eastAsia="Arial" w:hAnsi="Arial"/>
          <w:sz w:val="14"/>
          <w:szCs w:val="14"/>
          <w:color w:val="auto"/>
        </w:rPr>
        <w:t>In April 2026, the Company’s board of directors adopted and the Company’s stockholders approved the 2026 Equity Incentive Plan (the “2026 Plan”), which became effective immediately prior to the effectiveness of the registration statement for the IPO. The 2026 Plan initially provides for the grant of awards with respect to 4,180,000 shares of common stock, of which the Company granted stock options to purchase an aggregate of 306,900 shares of common stock, at an exercise price per share equal to the initial public offering price of $18.00, in connection with the IPO.</w:t>
      </w:r>
    </w:p>
    <w:p>
      <w:pPr>
        <w:spacing w:after="0" w:line="139" w:lineRule="exact"/>
        <w:rPr>
          <w:sz w:val="20"/>
          <w:szCs w:val="20"/>
          <w:color w:val="auto"/>
        </w:rPr>
      </w:pPr>
    </w:p>
    <w:p>
      <w:pPr>
        <w:ind w:left="1220" w:right="179" w:firstLine="353"/>
        <w:spacing w:after="0" w:line="258" w:lineRule="auto"/>
        <w:rPr>
          <w:sz w:val="20"/>
          <w:szCs w:val="20"/>
          <w:color w:val="auto"/>
        </w:rPr>
      </w:pPr>
      <w:r>
        <w:rPr>
          <w:rFonts w:ascii="Arial" w:cs="Arial" w:eastAsia="Arial" w:hAnsi="Arial"/>
          <w:sz w:val="14"/>
          <w:szCs w:val="14"/>
          <w:color w:val="auto"/>
        </w:rPr>
        <w:t>In April 2026 the Company’s board of directors adopted and the Company’s stockholders approved the 2026 Employee Stock Purchase Plan (the “2026 ESPP”), which became effective immediately prior to the effectiveness of the registration statement for the IPO. The 2026 ESPP initially provides participating employees with the opportunity to purchase up to an aggregate of 418,000 shares of common stock.</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159"/>
          </w:cols>
          <w:pgMar w:left="300" w:top="415"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0"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this Quarterly Report, and our audited consolidated financial statements and related notes included in the final prospectus for our initial public offering, or IPO, dated April 30, 2026, and filed with the U.S. Securities and Exchange Commission, or SEC, pursuant to Rule 424(b)(4) under the Securities Act of 1933, as amended, or the Securities Act, on May 1, 2026.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Overview</w:t>
      </w:r>
    </w:p>
    <w:p>
      <w:pPr>
        <w:spacing w:after="0" w:line="88" w:lineRule="exact"/>
        <w:rPr>
          <w:sz w:val="20"/>
          <w:szCs w:val="20"/>
          <w:color w:val="auto"/>
        </w:rPr>
      </w:pPr>
    </w:p>
    <w:p>
      <w:pPr>
        <w:ind w:left="1220" w:right="219" w:firstLine="353"/>
        <w:spacing w:after="0" w:line="249" w:lineRule="auto"/>
        <w:rPr>
          <w:sz w:val="20"/>
          <w:szCs w:val="20"/>
          <w:color w:val="auto"/>
        </w:rPr>
      </w:pPr>
      <w:r>
        <w:rPr>
          <w:rFonts w:ascii="Arial" w:cs="Arial" w:eastAsia="Arial" w:hAnsi="Arial"/>
          <w:sz w:val="14"/>
          <w:szCs w:val="14"/>
          <w:color w:val="auto"/>
        </w:rPr>
        <w:t>We are a clinical-stage biotechnology company developing therapies that reimagine the treatment of blood coagulation disorders to sustain life and human resilience. Our mission is to build the leading coagulation company by discovering, developing, and commercializing innovative therapies for the millions of patients worldwide suffering from serious bleeding and thrombotic diseases, including Glanzmann thrombasthenia, Factor VII deficiency, Von Willebrand Disease and other conditions of abnormal bleeding, all of which can cause significant life-long burden to patients. We are building a comprehensive franchise of investigational therapeutics spanning from Phase 2 clinical development through discovery research. Our assets address critical gaps in the treatment of coagulation disorders, with multiple value-driving clinical data events anticipated in 2026, 2027 and beyond.</w:t>
      </w:r>
    </w:p>
    <w:p>
      <w:pPr>
        <w:spacing w:after="0" w:line="140" w:lineRule="exact"/>
        <w:rPr>
          <w:sz w:val="20"/>
          <w:szCs w:val="20"/>
          <w:color w:val="auto"/>
        </w:rPr>
      </w:pPr>
    </w:p>
    <w:p>
      <w:pPr>
        <w:ind w:left="1220" w:right="219" w:firstLine="353"/>
        <w:spacing w:after="0" w:line="256" w:lineRule="auto"/>
        <w:rPr>
          <w:sz w:val="20"/>
          <w:szCs w:val="20"/>
          <w:color w:val="auto"/>
        </w:rPr>
      </w:pPr>
      <w:r>
        <w:rPr>
          <w:rFonts w:ascii="Arial" w:cs="Arial" w:eastAsia="Arial" w:hAnsi="Arial"/>
          <w:sz w:val="14"/>
          <w:szCs w:val="14"/>
          <w:color w:val="auto"/>
        </w:rPr>
        <w:t>Our lead asset, sutacimig, is a bispecific antibody currently in Phase 1/2 clinical development for the prophylactic treatment of Glanzmann thrombasthenia and Phase 2 clinical development for the prophylactic treatment of Factor VII deficiency. Our second clinical-stage asset, HMB-002, is a monovalent antibody in Phase 1/2 clinical development for the subcutaneous prophylactic treatment of Von Willebrand Disease. We are also advancing multiple preclinical and discovery-stage assets.</w:t>
      </w:r>
    </w:p>
    <w:p>
      <w:pPr>
        <w:spacing w:after="0" w:line="135"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Since our inception in 2020, we have devoted substantially all of our resources to drug discovery, the development of our lead product candidates, sutacimig and HMB-002, along with several preclinical programs focusing on coagulation disorders. In addition to our research and development efforts, our operations to date have been limited to organizing and staffing our company, business planning, raising capital, securing intellectual property rights, in-licensing technology, discovering product candidates, undertaking preclinical studies, conducting clinical trials and providing general and administrative support for these operations.</w:t>
      </w:r>
    </w:p>
    <w:p>
      <w:pPr>
        <w:spacing w:after="0" w:line="139"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We have no approved products, and we have not generated any revenue from product sales. On May 4, 2026, we closed our initial public offering (“IPO”) of 19,262,500 shares of common stock, which included the exercise in full by the underwriters of their option to purchase additional shares of common stock. The net proceeds from the IPO were approximately $ 317.2 million, after deducting underwriting discounts and commissions and offering expenses payable by us. Prior to our IPO, we financed our operations primarily through private placements of convertible preference shares and issuance of convertible debt. Since our inception through May 21, 2026, we have received aggregate gross proceeds of approximately $692.7 million from such transactions.</w:t>
      </w:r>
    </w:p>
    <w:p>
      <w:pPr>
        <w:spacing w:after="0" w:line="141"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We have incurred significant operating losses since inception. Our net losses were $22.7 million and $15.3 million for the three months ended March 31, 2026 and 2025, respectively. As of March 31, 2026, we had an accumulated deficit of $204.5 million. We expect to continue to incur significant operating expenses and net losses for the foreseeable future.</w:t>
      </w:r>
    </w:p>
    <w:p>
      <w:pPr>
        <w:spacing w:after="0" w:line="131"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99" w:lineRule="exact"/>
        <w:rPr>
          <w:sz w:val="20"/>
          <w:szCs w:val="20"/>
          <w:color w:val="auto"/>
        </w:rPr>
      </w:pPr>
    </w:p>
    <w:p>
      <w:pPr>
        <w:ind w:left="2000" w:right="119" w:hanging="338"/>
        <w:spacing w:after="0" w:line="256" w:lineRule="auto"/>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59" w:lineRule="exact"/>
        <w:rPr>
          <w:rFonts w:ascii="Arial" w:cs="Arial" w:eastAsia="Arial" w:hAnsi="Arial"/>
          <w:sz w:val="14"/>
          <w:szCs w:val="14"/>
          <w:color w:val="auto"/>
        </w:rPr>
      </w:pPr>
    </w:p>
    <w:p>
      <w:pPr>
        <w:ind w:left="2000" w:right="479" w:hanging="338"/>
        <w:spacing w:after="0" w:line="263" w:lineRule="auto"/>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55" w:lineRule="exact"/>
        <w:rPr>
          <w:rFonts w:ascii="Arial" w:cs="Arial" w:eastAsia="Arial" w:hAnsi="Arial"/>
          <w:sz w:val="14"/>
          <w:szCs w:val="14"/>
          <w:color w:val="auto"/>
        </w:rPr>
      </w:pPr>
    </w:p>
    <w:p>
      <w:pPr>
        <w:ind w:left="5560" w:right="319" w:hanging="3898"/>
        <w:spacing w:after="0" w:line="351" w:lineRule="auto"/>
        <w:tabs>
          <w:tab w:leader="none" w:pos="2005"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 24</w:t>
      </w:r>
    </w:p>
    <w:p>
      <w:pPr>
        <w:sectPr>
          <w:pgSz w:w="11900" w:h="16838" w:orient="portrait"/>
          <w:cols w:equalWidth="0" w:num="1">
            <w:col w:w="10159"/>
          </w:cols>
          <w:pgMar w:left="300" w:top="415"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119" w:hanging="338"/>
        <w:spacing w:after="0" w:line="263" w:lineRule="auto"/>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8"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8" w:lineRule="exact"/>
        <w:rPr>
          <w:rFonts w:ascii="Arial" w:cs="Arial" w:eastAsia="Arial" w:hAnsi="Arial"/>
          <w:sz w:val="14"/>
          <w:szCs w:val="14"/>
          <w:color w:val="auto"/>
        </w:rPr>
      </w:pPr>
    </w:p>
    <w:p>
      <w:pPr>
        <w:ind w:left="2000" w:right="239" w:hanging="338"/>
        <w:spacing w:after="0" w:line="263" w:lineRule="auto"/>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98" w:lineRule="exact"/>
        <w:rPr>
          <w:rFonts w:ascii="Arial" w:cs="Arial" w:eastAsia="Arial" w:hAnsi="Arial"/>
          <w:sz w:val="14"/>
          <w:szCs w:val="14"/>
          <w:color w:val="auto"/>
        </w:rPr>
      </w:pPr>
    </w:p>
    <w:p>
      <w:pPr>
        <w:ind w:left="2000" w:right="199" w:hanging="338"/>
        <w:spacing w:after="0" w:line="263" w:lineRule="auto"/>
        <w:tabs>
          <w:tab w:leader="none" w:pos="2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9" w:lineRule="exact"/>
        <w:rPr>
          <w:sz w:val="20"/>
          <w:szCs w:val="20"/>
          <w:color w:val="auto"/>
        </w:rPr>
      </w:pPr>
    </w:p>
    <w:p>
      <w:pPr>
        <w:ind w:left="2000" w:right="159" w:hanging="338"/>
        <w:spacing w:after="0" w:line="285" w:lineRule="auto"/>
        <w:tabs>
          <w:tab w:leader="none" w:pos="2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39" w:lineRule="exact"/>
        <w:rPr>
          <w:rFonts w:ascii="Arial" w:cs="Arial" w:eastAsia="Arial" w:hAnsi="Arial"/>
          <w:sz w:val="14"/>
          <w:szCs w:val="14"/>
          <w:color w:val="auto"/>
        </w:rPr>
      </w:pPr>
    </w:p>
    <w:p>
      <w:pPr>
        <w:ind w:left="2000" w:right="119" w:hanging="338"/>
        <w:spacing w:after="0" w:line="262" w:lineRule="auto"/>
        <w:tabs>
          <w:tab w:leader="none" w:pos="2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246"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15" w:lineRule="exact"/>
        <w:rPr>
          <w:sz w:val="20"/>
          <w:szCs w:val="20"/>
          <w:color w:val="auto"/>
        </w:rPr>
      </w:pPr>
    </w:p>
    <w:p>
      <w:pPr>
        <w:ind w:left="1220" w:right="139" w:firstLine="353"/>
        <w:spacing w:after="0" w:line="253" w:lineRule="auto"/>
        <w:rPr>
          <w:sz w:val="20"/>
          <w:szCs w:val="20"/>
          <w:color w:val="auto"/>
        </w:rPr>
      </w:pPr>
      <w:r>
        <w:rPr>
          <w:rFonts w:ascii="Arial" w:cs="Arial" w:eastAsia="Arial" w:hAnsi="Arial"/>
          <w:sz w:val="14"/>
          <w:szCs w:val="14"/>
          <w:color w:val="auto"/>
        </w:rPr>
        <w:t>We will not generate revenue from product sales unless and until we successfully complete the clinical development or future clinical development of, and obtain regulatory approval for, one or more of our current or future product candidates, which may not occur for several years, if at all. In addition, if we obtain marketing approval for our product candidates and any other product candidates we may identify and pursue, we expect to incur significant commercialization expenses related to product manufacturing, sales, marketing and distribution.</w:t>
      </w:r>
    </w:p>
    <w:p>
      <w:pPr>
        <w:spacing w:after="0" w:line="306"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Our net losses may fluctuate significantly from period to period, depending on the timing of our current and potential future clinical trials and expenditures related to our research and developmental activities. Furthermore, we expect to incur additional costs associated with operating as a public company. Accordingly, we will need to obtain substantial additional funding to support our continuing operations and pursue our growth strategy. Until such a time when we can generate significant revenue from product sales, if ever, we expect to finance our operations through a combination of equity offerings, debt financings, royalty financings, collaborations, strategic alliances, and marketing, distribution or licensing arrangements. We may be unable to raise additional funds or enter into such other agreements or arrangements when needed, on favorable terms, or at all. Our failure to raise capital or enter into such agreements or arrangements as, and when needed, could have a material adverse effect on our business, results of operations and financial condition, including potentially requiring us to delay, limit, reduce or eliminate product development or future commercialization efforts, or grant rights to develop and market current or future development product candidates that we would otherwise prefer to develop and market ourselves.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415"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219" w:firstLine="353"/>
        <w:spacing w:after="0" w:line="256" w:lineRule="auto"/>
        <w:rPr>
          <w:sz w:val="20"/>
          <w:szCs w:val="20"/>
          <w:color w:val="auto"/>
        </w:rPr>
      </w:pPr>
      <w:r>
        <w:rPr>
          <w:rFonts w:ascii="Arial" w:cs="Arial" w:eastAsia="Arial" w:hAnsi="Arial"/>
          <w:sz w:val="14"/>
          <w:szCs w:val="14"/>
          <w:color w:val="auto"/>
        </w:rPr>
        <w:t>As there are numerous risks and uncertainties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35"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As of March 31, 2026, we had cash, cash equivalents and marketable securities of $163.5 million. We believe that our existing cash, cash equivalents and marketable securities, together with net proceeds from the IPO of approximately $ 317.2 million, will enable us to fund our operating expenses and capital expenditure requirements into 2029. For more information, see the section titled “</w:t>
      </w:r>
      <w:r>
        <w:rPr>
          <w:rFonts w:ascii="Arial" w:cs="Arial" w:eastAsia="Arial" w:hAnsi="Arial"/>
          <w:sz w:val="14"/>
          <w:szCs w:val="14"/>
          <w:i w:val="1"/>
          <w:iCs w:val="1"/>
          <w:color w:val="auto"/>
        </w:rPr>
        <w:t>Liquidity and</w:t>
      </w:r>
      <w:r>
        <w:rPr>
          <w:rFonts w:ascii="Arial" w:cs="Arial" w:eastAsia="Arial" w:hAnsi="Arial"/>
          <w:sz w:val="14"/>
          <w:szCs w:val="14"/>
          <w:color w:val="auto"/>
        </w:rPr>
        <w:t xml:space="preserve"> </w:t>
      </w:r>
      <w:r>
        <w:rPr>
          <w:rFonts w:ascii="Arial" w:cs="Arial" w:eastAsia="Arial" w:hAnsi="Arial"/>
          <w:sz w:val="14"/>
          <w:szCs w:val="14"/>
          <w:i w:val="1"/>
          <w:iCs w:val="1"/>
          <w:color w:val="auto"/>
        </w:rPr>
        <w:t>Capital Resources</w:t>
      </w:r>
      <w:r>
        <w:rPr>
          <w:rFonts w:ascii="Arial" w:cs="Arial" w:eastAsia="Arial" w:hAnsi="Arial"/>
          <w:sz w:val="14"/>
          <w:szCs w:val="14"/>
          <w:color w:val="auto"/>
        </w:rPr>
        <w:t>” below.</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Corporate Reorganization</w:t>
      </w:r>
    </w:p>
    <w:p>
      <w:pPr>
        <w:spacing w:after="0" w:line="86"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On March 30, 2026, we completed a corporate reorganization pursuant to which the shareholders of Hemab ApS exchanged their shares in Hemab ApS for the same number, class and series of newly issued shares, on a one to one basis, in the newly incorporated Delaware company, Hemab Therapeutics Holdings, Inc. and, as a result, Hemab ApS became a wholly owned subsidiary of Hemab Therapeutics Holdings, Inc. The newly issued shares of Hemab Therapeutics Holdings, Inc. have substantially identical rights to the exchanged shares of Hemab ApS. As a result of the exchange, Hemab Therapeutics Holdings, Inc. became the sole shareholder of Hemab ApS, and the prior shareholders of Hemab ApS solely hold shares of Hemab Therapeutics Holdings, Inc. Hemab Therapeutics Holdings, Inc. had nominal assets and liabilities and did not conduct any operations prior to the corporate reorganization other than its incorporation. Upon completion of the corporate reorganization, the historical consolidated financial statements of Hemab ApS became the historical consolidated financial statements of Hemab Therapeutics Holdings, Inc.</w:t>
      </w:r>
    </w:p>
    <w:p>
      <w:pPr>
        <w:spacing w:after="0" w:line="143"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Each new warrant otherwise has and is subject to the same terms and conditions as were in effect immediately prior to the assumption and conversion, except that any warrant exercise price that had been denominated in DKK prior to the corporate reorganization was converted into an exercise price in U.S. dollars at the exchange rate as in effect at the close of business on the business day prior to the corporate reorganization. No warrants of Hemab ApS are outstanding following the assumption and conversion.</w:t>
      </w:r>
    </w:p>
    <w:p>
      <w:pPr>
        <w:spacing w:after="0" w:line="307" w:lineRule="exact"/>
        <w:rPr>
          <w:sz w:val="20"/>
          <w:szCs w:val="20"/>
          <w:color w:val="auto"/>
        </w:rPr>
      </w:pPr>
    </w:p>
    <w:p>
      <w:pPr>
        <w:ind w:left="1220" w:right="239" w:firstLine="353"/>
        <w:spacing w:after="0" w:line="256" w:lineRule="auto"/>
        <w:rPr>
          <w:sz w:val="20"/>
          <w:szCs w:val="20"/>
          <w:color w:val="auto"/>
        </w:rPr>
      </w:pPr>
      <w:r>
        <w:rPr>
          <w:rFonts w:ascii="Arial" w:cs="Arial" w:eastAsia="Arial" w:hAnsi="Arial"/>
          <w:sz w:val="14"/>
          <w:szCs w:val="14"/>
          <w:color w:val="auto"/>
        </w:rPr>
        <w:t>Additionally, promptly following the corporate reorganization, on April 1, 2026, Hemab ApS transferred its shares of Hemab Therapeutics Inc., a Delaware corporation and wholly-owned subsidiary of Hemab ApS, to Hemab Therapeutics Holdings, Inc. in exchange for the issuance of a promissory note and, as a result, Hemab Therapeutics Inc. became a wholly owned subsidiary of Hemab Therapeutics Holdings, Inc.</w:t>
      </w:r>
    </w:p>
    <w:p>
      <w:pPr>
        <w:spacing w:after="0" w:line="22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Components of Results of Operations</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Revenue</w:t>
      </w:r>
    </w:p>
    <w:p>
      <w:pPr>
        <w:spacing w:after="0" w:line="86"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We have not generated any revenues from the sale of products to date and do not expect to generate any revenue from the sale of products until we successfully complete development and obtain regulatory approval for one or more of our product candidates, which may not occur for several years, if at all. If our development efforts for our product candidates are successful and result in regulatory approval or we successfully enter into collaboration or license agreements with third parties, we may generate revenues in the future from product sales, or payments from such collaboration or license agreements, or a combination thereof.</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Our operating expenses consist of research and development expenses and general and administrative expenses.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415"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Research and Development Expenses</w:t>
      </w:r>
    </w:p>
    <w:p>
      <w:pPr>
        <w:spacing w:after="0" w:line="86" w:lineRule="exact"/>
        <w:rPr>
          <w:sz w:val="20"/>
          <w:szCs w:val="20"/>
          <w:color w:val="auto"/>
        </w:rPr>
      </w:pPr>
    </w:p>
    <w:p>
      <w:pPr>
        <w:ind w:left="1220" w:right="439" w:firstLine="353"/>
        <w:spacing w:after="0" w:line="285" w:lineRule="auto"/>
        <w:rPr>
          <w:sz w:val="20"/>
          <w:szCs w:val="20"/>
          <w:color w:val="auto"/>
        </w:rPr>
      </w:pPr>
      <w:r>
        <w:rPr>
          <w:rFonts w:ascii="Arial" w:cs="Arial" w:eastAsia="Arial" w:hAnsi="Arial"/>
          <w:sz w:val="14"/>
          <w:szCs w:val="14"/>
          <w:color w:val="auto"/>
        </w:rPr>
        <w:t>Research and development expenses consist primarily of external and internal costs incurred for our research and development activities, including our product candidate discovery and development efforts. These expenses include:</w:t>
      </w:r>
    </w:p>
    <w:p>
      <w:pPr>
        <w:spacing w:after="0" w:line="40" w:lineRule="exact"/>
        <w:rPr>
          <w:sz w:val="20"/>
          <w:szCs w:val="20"/>
          <w:color w:val="auto"/>
        </w:rPr>
      </w:pPr>
    </w:p>
    <w:p>
      <w:pPr>
        <w:ind w:left="2000" w:right="419" w:hanging="424"/>
        <w:spacing w:after="0" w:line="263" w:lineRule="auto"/>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external costs, including expenses incurred under arrangements with third-parties, such as contract manufacturing organizations, or CMOs, contract research organizations, or CROs, providers of sponsored research, consultants and our scientific advisors;</w:t>
      </w:r>
    </w:p>
    <w:p>
      <w:pPr>
        <w:spacing w:after="0" w:line="55" w:lineRule="exact"/>
        <w:rPr>
          <w:rFonts w:ascii="Arial" w:cs="Arial" w:eastAsia="Arial" w:hAnsi="Arial"/>
          <w:sz w:val="14"/>
          <w:szCs w:val="14"/>
          <w:color w:val="auto"/>
        </w:rPr>
      </w:pPr>
    </w:p>
    <w:p>
      <w:pPr>
        <w:ind w:left="2000" w:hanging="424"/>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laboratory and vendor costs related to the execution of preclinical studies and planned and ongoing clinical trials;</w:t>
      </w:r>
    </w:p>
    <w:p>
      <w:pPr>
        <w:spacing w:after="0" w:line="98" w:lineRule="exact"/>
        <w:rPr>
          <w:rFonts w:ascii="Arial" w:cs="Arial" w:eastAsia="Arial" w:hAnsi="Arial"/>
          <w:sz w:val="14"/>
          <w:szCs w:val="14"/>
          <w:color w:val="auto"/>
        </w:rPr>
      </w:pPr>
    </w:p>
    <w:p>
      <w:pPr>
        <w:ind w:left="2000" w:hanging="424"/>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costs related to compliance with regulatory requirements;</w:t>
      </w:r>
    </w:p>
    <w:p>
      <w:pPr>
        <w:spacing w:after="0" w:line="98" w:lineRule="exact"/>
        <w:rPr>
          <w:rFonts w:ascii="Arial" w:cs="Arial" w:eastAsia="Arial" w:hAnsi="Arial"/>
          <w:sz w:val="14"/>
          <w:szCs w:val="14"/>
          <w:color w:val="auto"/>
        </w:rPr>
      </w:pPr>
    </w:p>
    <w:p>
      <w:pPr>
        <w:ind w:left="2000" w:hanging="424"/>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direct costs of conducting internal research and development for our internal preclinical programs;</w:t>
      </w:r>
    </w:p>
    <w:p>
      <w:pPr>
        <w:spacing w:after="0" w:line="98" w:lineRule="exact"/>
        <w:rPr>
          <w:rFonts w:ascii="Arial" w:cs="Arial" w:eastAsia="Arial" w:hAnsi="Arial"/>
          <w:sz w:val="14"/>
          <w:szCs w:val="14"/>
          <w:color w:val="auto"/>
        </w:rPr>
      </w:pPr>
    </w:p>
    <w:p>
      <w:pPr>
        <w:ind w:left="2000" w:right="479" w:hanging="424"/>
        <w:spacing w:after="0" w:line="285" w:lineRule="auto"/>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acquisition of intellectual property and related future payments should certain development and regulatory milestones be achieved;</w:t>
      </w:r>
    </w:p>
    <w:p>
      <w:pPr>
        <w:spacing w:after="0" w:line="39" w:lineRule="exact"/>
        <w:rPr>
          <w:rFonts w:ascii="Arial" w:cs="Arial" w:eastAsia="Arial" w:hAnsi="Arial"/>
          <w:sz w:val="14"/>
          <w:szCs w:val="14"/>
          <w:color w:val="auto"/>
        </w:rPr>
      </w:pPr>
    </w:p>
    <w:p>
      <w:pPr>
        <w:ind w:left="2000" w:right="479" w:hanging="424"/>
        <w:spacing w:after="0" w:line="285" w:lineRule="auto"/>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personnel-related costs, including salaries, bonuses, benefits and equity-based compensation for employees engaged in research and development functions;</w:t>
      </w:r>
    </w:p>
    <w:p>
      <w:pPr>
        <w:spacing w:after="0" w:line="39" w:lineRule="exact"/>
        <w:rPr>
          <w:rFonts w:ascii="Arial" w:cs="Arial" w:eastAsia="Arial" w:hAnsi="Arial"/>
          <w:sz w:val="14"/>
          <w:szCs w:val="14"/>
          <w:color w:val="auto"/>
        </w:rPr>
      </w:pPr>
    </w:p>
    <w:p>
      <w:pPr>
        <w:ind w:left="2000" w:right="239" w:hanging="424"/>
        <w:spacing w:after="0" w:line="285" w:lineRule="auto"/>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expenses incurred for the procurement of materials, laboratory supplies and non-capital equipment used in the research and development process; and</w:t>
      </w:r>
    </w:p>
    <w:p>
      <w:pPr>
        <w:spacing w:after="0" w:line="39" w:lineRule="exact"/>
        <w:rPr>
          <w:rFonts w:ascii="Arial" w:cs="Arial" w:eastAsia="Arial" w:hAnsi="Arial"/>
          <w:sz w:val="14"/>
          <w:szCs w:val="14"/>
          <w:color w:val="auto"/>
        </w:rPr>
      </w:pPr>
    </w:p>
    <w:p>
      <w:pPr>
        <w:ind w:left="2000" w:right="359" w:hanging="424"/>
        <w:spacing w:after="0" w:line="285" w:lineRule="auto"/>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depreciation, amortization and other direct and allocated expenses, including rent, insurance, maintenance of facilities and other operating costs, incurred as a result of our research and development activities.</w:t>
      </w:r>
    </w:p>
    <w:p>
      <w:pPr>
        <w:spacing w:after="0" w:line="115" w:lineRule="exact"/>
        <w:rPr>
          <w:sz w:val="20"/>
          <w:szCs w:val="20"/>
          <w:color w:val="auto"/>
        </w:rPr>
      </w:pPr>
    </w:p>
    <w:p>
      <w:pPr>
        <w:ind w:left="1220" w:right="139" w:firstLine="353"/>
        <w:spacing w:after="0" w:line="263" w:lineRule="auto"/>
        <w:rPr>
          <w:sz w:val="20"/>
          <w:szCs w:val="20"/>
          <w:color w:val="auto"/>
        </w:rPr>
      </w:pPr>
      <w:r>
        <w:rPr>
          <w:rFonts w:ascii="Arial" w:cs="Arial" w:eastAsia="Arial" w:hAnsi="Arial"/>
          <w:sz w:val="14"/>
          <w:szCs w:val="14"/>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w:t>
      </w:r>
    </w:p>
    <w:p>
      <w:pPr>
        <w:spacing w:after="0" w:line="131" w:lineRule="exact"/>
        <w:rPr>
          <w:sz w:val="20"/>
          <w:szCs w:val="20"/>
          <w:color w:val="auto"/>
        </w:rPr>
      </w:pPr>
    </w:p>
    <w:p>
      <w:pPr>
        <w:jc w:val="both"/>
        <w:ind w:left="1220" w:right="259" w:firstLine="353"/>
        <w:spacing w:after="0" w:line="256" w:lineRule="auto"/>
        <w:rPr>
          <w:sz w:val="20"/>
          <w:szCs w:val="20"/>
          <w:color w:val="auto"/>
        </w:rPr>
      </w:pPr>
      <w:r>
        <w:rPr>
          <w:rFonts w:ascii="Arial" w:cs="Arial" w:eastAsia="Arial" w:hAnsi="Arial"/>
          <w:sz w:val="14"/>
          <w:szCs w:val="14"/>
          <w:color w:val="auto"/>
        </w:rPr>
        <w:t>We record accruals for estimated ongoing research costs and receive updated estimates of costs and amounts owed on a monthly basis from our third-party service providers. When evaluating the adequacy of the prepaid expenses and accrued liabilities, we analyze progress of the studies, including the phase or completion of events, invoices received and contracted cost estimates from its third-party service providers. Estimates are made in determining the balances at the end of any reporting period.</w:t>
      </w:r>
    </w:p>
    <w:p>
      <w:pPr>
        <w:spacing w:after="0" w:line="135"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A significant portion of our research and development costs have been, and will continue to be, external costs. External costs, which are specific to a product candidate, are tracked on a product candidate-by-product candidate basis upon our designation of a preclinical asset as a product candidate. Because we can use certain resources across several product candidates, personnel-related expenses and indirect or shared operating costs incurred for our research and development activities are not recorded or allocated on a product candidate-by-product candidate basis.</w:t>
      </w:r>
    </w:p>
    <w:p>
      <w:pPr>
        <w:spacing w:after="0" w:line="139"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We have historically met the requirements to receive a tax credit in Denmark of up to 5.5 million Danish Kroner, or DKK, per year for losses resulting from research and development costs of up to DKK 25 million per year. The tax credit is presented as a reduction to research and development expense in the condensed consolidated statements of operations and comprehensive loss.</w:t>
      </w:r>
    </w:p>
    <w:p>
      <w:pPr>
        <w:spacing w:after="0" w:line="131" w:lineRule="exact"/>
        <w:rPr>
          <w:sz w:val="20"/>
          <w:szCs w:val="20"/>
          <w:color w:val="auto"/>
        </w:rPr>
      </w:pPr>
    </w:p>
    <w:p>
      <w:pPr>
        <w:ind w:left="1220" w:right="259" w:firstLine="353"/>
        <w:spacing w:after="0" w:line="256" w:lineRule="auto"/>
        <w:rPr>
          <w:sz w:val="20"/>
          <w:szCs w:val="20"/>
          <w:color w:val="auto"/>
        </w:rPr>
      </w:pPr>
      <w:r>
        <w:rPr>
          <w:rFonts w:ascii="Arial" w:cs="Arial" w:eastAsia="Arial" w:hAnsi="Arial"/>
          <w:sz w:val="14"/>
          <w:szCs w:val="14"/>
          <w:color w:val="auto"/>
        </w:rPr>
        <w:t>We anticipate that our research and development expenses will increase substantially for the foreseeable future in connection with our ongoing clinical trials and our planned clinical development activities. However, we cannot reasonably estimate the costs or timing of the efforts that will be necessary to complete the development of any of our product candidates due to the numerous risks and uncertainties associated with their development, including the uncertainty of:</w:t>
      </w:r>
    </w:p>
    <w:p>
      <w:pPr>
        <w:spacing w:after="0" w:line="60" w:lineRule="exact"/>
        <w:rPr>
          <w:sz w:val="20"/>
          <w:szCs w:val="20"/>
          <w:color w:val="auto"/>
        </w:rPr>
      </w:pPr>
    </w:p>
    <w:p>
      <w:pPr>
        <w:ind w:left="2000" w:hanging="338"/>
        <w:spacing w:after="0"/>
        <w:tabs>
          <w:tab w:leader="none" w:pos="2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preclinical studies and clinical trials for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or future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whether we partner our programs with collaborators for later-stage clinical development or commercialization;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and development requirements of any other product candidates we may identify and develop;</w:t>
      </w:r>
    </w:p>
    <w:p>
      <w:pPr>
        <w:spacing w:after="0" w:line="98" w:lineRule="exact"/>
        <w:rPr>
          <w:rFonts w:ascii="Arial" w:cs="Arial" w:eastAsia="Arial" w:hAnsi="Arial"/>
          <w:sz w:val="14"/>
          <w:szCs w:val="14"/>
          <w:color w:val="auto"/>
        </w:rPr>
      </w:pPr>
    </w:p>
    <w:p>
      <w:pPr>
        <w:ind w:left="2000" w:right="559" w:hanging="338"/>
        <w:spacing w:after="0" w:line="285" w:lineRule="auto"/>
        <w:tabs>
          <w:tab w:leader="none" w:pos="20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 and any other product candidates we may identify and develop;</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159"/>
          </w:cols>
          <w:pgMar w:left="300" w:top="415"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299" w:hanging="338"/>
        <w:spacing w:after="0" w:line="285" w:lineRule="auto"/>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costs of obtaining clinical and commercial supplies of our product candidates and any other product candidates we may identify and develop;</w:t>
      </w:r>
    </w:p>
    <w:p>
      <w:pPr>
        <w:spacing w:after="0" w:line="39" w:lineRule="exact"/>
        <w:rPr>
          <w:rFonts w:ascii="Arial" w:cs="Arial" w:eastAsia="Arial" w:hAnsi="Arial"/>
          <w:sz w:val="14"/>
          <w:szCs w:val="14"/>
          <w:color w:val="auto"/>
        </w:rPr>
      </w:pPr>
    </w:p>
    <w:p>
      <w:pPr>
        <w:ind w:left="2000" w:right="599" w:hanging="338"/>
        <w:spacing w:after="0" w:line="285" w:lineRule="auto"/>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any other product candidates we may identify and develop;</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time and cost necessary to respond to technological and market developments;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extent to which we may acquire or in-license other product candidates and technologies;</w:t>
      </w:r>
    </w:p>
    <w:p>
      <w:pPr>
        <w:spacing w:after="0" w:line="98" w:lineRule="exact"/>
        <w:rPr>
          <w:rFonts w:ascii="Arial" w:cs="Arial" w:eastAsia="Arial" w:hAnsi="Arial"/>
          <w:sz w:val="14"/>
          <w:szCs w:val="14"/>
          <w:color w:val="auto"/>
        </w:rPr>
      </w:pPr>
    </w:p>
    <w:p>
      <w:pPr>
        <w:ind w:left="2000" w:right="279" w:hanging="338"/>
        <w:spacing w:after="0" w:line="285" w:lineRule="auto"/>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establish and maintain strategic collaborations, licensing or other arrangements and the financial terms of such arrangements;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milestone payments and other collaboration-based payments, if any;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effect of macroeconomic trends including inflation, foreign exchange rate, interest rates and tariffs.</w:t>
      </w:r>
    </w:p>
    <w:p>
      <w:pPr>
        <w:spacing w:after="0" w:line="174" w:lineRule="exact"/>
        <w:rPr>
          <w:sz w:val="20"/>
          <w:szCs w:val="20"/>
          <w:color w:val="auto"/>
        </w:rPr>
      </w:pPr>
    </w:p>
    <w:p>
      <w:pPr>
        <w:ind w:left="1220" w:right="119" w:firstLine="353"/>
        <w:spacing w:after="0" w:line="256" w:lineRule="auto"/>
        <w:rPr>
          <w:sz w:val="20"/>
          <w:szCs w:val="20"/>
          <w:color w:val="auto"/>
        </w:rPr>
      </w:pPr>
      <w:r>
        <w:rPr>
          <w:rFonts w:ascii="Arial" w:cs="Arial" w:eastAsia="Arial" w:hAnsi="Arial"/>
          <w:sz w:val="14"/>
          <w:szCs w:val="14"/>
          <w:color w:val="auto"/>
        </w:rPr>
        <w:t>Any changes in the outcome of any of these variables with respect to the development of our programs and product candidates or any future programs and product candidates that we may develop could result in a significant change in the costs and timing associated with the development of that program or product candidate. We may never succeed in achieving regulatory approval for any of our product candidates or any future product candidates that we may identify and develop.</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General and Administrative Expenses</w:t>
      </w:r>
    </w:p>
    <w:p>
      <w:pPr>
        <w:spacing w:after="0" w:line="86" w:lineRule="exact"/>
        <w:rPr>
          <w:sz w:val="20"/>
          <w:szCs w:val="20"/>
          <w:color w:val="auto"/>
        </w:rPr>
      </w:pPr>
    </w:p>
    <w:p>
      <w:pPr>
        <w:jc w:val="both"/>
        <w:ind w:left="1220" w:right="259" w:firstLine="353"/>
        <w:spacing w:after="0" w:line="252" w:lineRule="auto"/>
        <w:rPr>
          <w:sz w:val="20"/>
          <w:szCs w:val="20"/>
          <w:color w:val="auto"/>
        </w:rPr>
      </w:pPr>
      <w:r>
        <w:rPr>
          <w:rFonts w:ascii="Arial" w:cs="Arial" w:eastAsia="Arial" w:hAnsi="Arial"/>
          <w:sz w:val="14"/>
          <w:szCs w:val="14"/>
          <w:color w:val="auto"/>
        </w:rPr>
        <w:t>General and administrative expenses consist primarily of personnel-related costs, including salaries, bonuses, benefits and equity-based compensation expenses for employees in executive, accounting and finance, business development, human resources, legal and other administrative functions. Other significant general and administrative expenses include facility related costs including depreciation, legal fees relating to corporate and intellectual property matters and other corporate matters, professional fees for accounting, audit and tax services, consulting fees and insurance costs.</w:t>
      </w:r>
    </w:p>
    <w:p>
      <w:pPr>
        <w:spacing w:after="0" w:line="139" w:lineRule="exact"/>
        <w:rPr>
          <w:sz w:val="20"/>
          <w:szCs w:val="20"/>
          <w:color w:val="auto"/>
        </w:rPr>
      </w:pPr>
    </w:p>
    <w:p>
      <w:pPr>
        <w:ind w:left="1220" w:right="179" w:firstLine="353"/>
        <w:spacing w:after="0" w:line="248" w:lineRule="auto"/>
        <w:rPr>
          <w:sz w:val="20"/>
          <w:szCs w:val="20"/>
          <w:color w:val="auto"/>
        </w:rPr>
      </w:pPr>
      <w:r>
        <w:rPr>
          <w:rFonts w:ascii="Arial" w:cs="Arial" w:eastAsia="Arial" w:hAnsi="Arial"/>
          <w:sz w:val="14"/>
          <w:szCs w:val="14"/>
          <w:color w:val="auto"/>
        </w:rPr>
        <w:t>We anticipate that our general and administrative expenses will increase as we increase our headcount to support our research and development activities and the potential commercialization of our product candidates, if approved. Additionally, these increases will likely include increased costs related to the hiring of additional personnel, among other expenses. We also expect to incur increased expenses associated with being a public company, including increased costs of accounting, audit, legal, regulatory and tax-related services associated with maintaining compliance with Nasdaq listing requirements and the requirements of the Securities and Exchange Commission, or the SEC, director and officer insurance costs, and investor and public relations costs. We also expect to incur additional intellectual property-related expenses as we file patent applications to protect innovations arising from our research and development activities.</w:t>
      </w:r>
    </w:p>
    <w:p>
      <w:pPr>
        <w:spacing w:after="0" w:line="396"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Other Income (Expense), Net</w:t>
      </w:r>
    </w:p>
    <w:p>
      <w:pPr>
        <w:spacing w:after="0" w:line="86" w:lineRule="exact"/>
        <w:rPr>
          <w:sz w:val="20"/>
          <w:szCs w:val="20"/>
          <w:color w:val="auto"/>
        </w:rPr>
      </w:pPr>
    </w:p>
    <w:p>
      <w:pPr>
        <w:ind w:left="1220" w:right="159" w:firstLine="353"/>
        <w:spacing w:after="0" w:line="263" w:lineRule="auto"/>
        <w:rPr>
          <w:sz w:val="20"/>
          <w:szCs w:val="20"/>
          <w:color w:val="auto"/>
        </w:rPr>
      </w:pPr>
      <w:r>
        <w:rPr>
          <w:rFonts w:ascii="Arial" w:cs="Arial" w:eastAsia="Arial" w:hAnsi="Arial"/>
          <w:sz w:val="14"/>
          <w:szCs w:val="14"/>
          <w:color w:val="auto"/>
        </w:rPr>
        <w:t>Other income (expense), net primarily consists of interest income generated from interest on cash, cash equivalents and marketable securities, realized and unrealized gains and losses on foreign currency transactions and interest expense associated with our finance lease for certain laboratory equipment.</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Income Taxes</w:t>
      </w:r>
    </w:p>
    <w:p>
      <w:pPr>
        <w:spacing w:after="0" w:line="86"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We are subject to taxation in the United States and Denmark. As of December 31, 2025, we had $170.9 million of net operating loss carryforwards that can be carried forward indefinitely according to Danish Tax Authority regulations. These loss carryforwards are available to reduce future taxable income, if any.</w:t>
      </w:r>
    </w:p>
    <w:p>
      <w:pPr>
        <w:spacing w:after="0" w:line="131"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losses and tax credit carry forwards. Deferred tax assets and liabilities are measured using enacted statutory tax rates expected to apply to taxable income in the jurisdictions and years in which those temporary differences are expected to be recovered or settled. The effect on deferred tax assets and liabilities of a change in tax rates is recognized in income in the period that includes the enactment date.</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159"/>
          </w:cols>
          <w:pgMar w:left="300" w:top="415"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259" w:firstLine="353"/>
        <w:spacing w:after="0" w:line="263" w:lineRule="auto"/>
        <w:rPr>
          <w:sz w:val="20"/>
          <w:szCs w:val="20"/>
          <w:color w:val="auto"/>
        </w:rPr>
      </w:pPr>
      <w:r>
        <w:rPr>
          <w:rFonts w:ascii="Arial" w:cs="Arial" w:eastAsia="Arial" w:hAnsi="Arial"/>
          <w:sz w:val="14"/>
          <w:szCs w:val="14"/>
          <w:color w:val="auto"/>
        </w:rPr>
        <w:t>Based on the level of historical operating results and projections for the taxable income for the future, we have determined that it is more likely than not that our net deferred tax assets will not be realized. Accordingly, we have recorded a full valuation allowance to reduce our net deferred tax assets.</w:t>
      </w:r>
    </w:p>
    <w:p>
      <w:pPr>
        <w:spacing w:after="0" w:line="131" w:lineRule="exact"/>
        <w:rPr>
          <w:sz w:val="20"/>
          <w:szCs w:val="20"/>
          <w:color w:val="auto"/>
        </w:rPr>
      </w:pPr>
    </w:p>
    <w:p>
      <w:pPr>
        <w:ind w:left="1220" w:right="219" w:firstLine="353"/>
        <w:spacing w:after="0" w:line="252" w:lineRule="auto"/>
        <w:rPr>
          <w:sz w:val="20"/>
          <w:szCs w:val="20"/>
          <w:color w:val="auto"/>
        </w:rPr>
      </w:pPr>
      <w:r>
        <w:rPr>
          <w:rFonts w:ascii="Arial" w:cs="Arial" w:eastAsia="Arial" w:hAnsi="Arial"/>
          <w:sz w:val="14"/>
          <w:szCs w:val="14"/>
          <w:color w:val="auto"/>
        </w:rPr>
        <w:t>We recognize tax benefits from uncertain tax positions only if, based on the technical merits of the position, it is more likely than not that the tax positions will be sustained on examination by the tax authority. The tax benefits recognized in the financial statements from such positions are measured based on the largest amount that is more than 50% likely to be realized upon ultimate settlement. We recognize interest and penalties related to unrecognized tax benefits within the provision for taxes in our statements of operations and comprehensive loss.</w:t>
      </w:r>
    </w:p>
    <w:p>
      <w:pPr>
        <w:spacing w:after="0" w:line="139" w:lineRule="exact"/>
        <w:rPr>
          <w:sz w:val="20"/>
          <w:szCs w:val="20"/>
          <w:color w:val="auto"/>
        </w:rPr>
      </w:pPr>
    </w:p>
    <w:p>
      <w:pPr>
        <w:jc w:val="both"/>
        <w:ind w:left="1220" w:right="159" w:firstLine="353"/>
        <w:spacing w:after="0" w:line="256" w:lineRule="auto"/>
        <w:rPr>
          <w:sz w:val="20"/>
          <w:szCs w:val="20"/>
          <w:color w:val="auto"/>
        </w:rPr>
      </w:pPr>
      <w:r>
        <w:rPr>
          <w:rFonts w:ascii="Arial" w:cs="Arial" w:eastAsia="Arial" w:hAnsi="Arial"/>
          <w:sz w:val="14"/>
          <w:szCs w:val="14"/>
          <w:color w:val="auto"/>
        </w:rPr>
        <w:t>We operate in Denmark and the United States and may be subject to audits from various tax authorities. Management’s judgment is required in determining our provision for income taxes, our deferred tax assets and liabilities, liabilities for uncertain tax positions, and any valuation allowance recorded against our net deferred tax assets. We plan to monitor the extent to which our deferred tax assets may be realized and adjust the valuation allowance accordingly.</w:t>
      </w:r>
    </w:p>
    <w:p>
      <w:pPr>
        <w:spacing w:after="0" w:line="22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Results of Operations</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Comparison of the Three Months Ended March 31, 2026 and 2025</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following table summarizes our results of operations for the periods presented (in thousands):</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5"/>
          </w:tcPr>
          <w:p>
            <w:pPr>
              <w:jc w:val="right"/>
              <w:ind w:right="299"/>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5"/>
          </w:tcPr>
          <w:p>
            <w:pPr>
              <w:jc w:val="right"/>
              <w:ind w:right="599"/>
              <w:spacing w:after="0"/>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2"/>
                <w:szCs w:val="12"/>
                <w:color w:val="auto"/>
              </w:rPr>
            </w:pPr>
          </w:p>
        </w:tc>
        <w:tc>
          <w:tcPr>
            <w:tcW w:w="600" w:type="dxa"/>
            <w:vAlign w:val="bottom"/>
            <w:gridSpan w:val="2"/>
            <w:vMerge w:val="restart"/>
          </w:tcPr>
          <w:p>
            <w:pPr>
              <w:jc w:val="right"/>
              <w:ind w:right="99"/>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tcPr>
          <w:p>
            <w:pPr>
              <w:jc w:val="right"/>
              <w:ind w:right="113"/>
              <w:spacing w:after="0" w:line="121" w:lineRule="exact"/>
              <w:rPr>
                <w:sz w:val="20"/>
                <w:szCs w:val="20"/>
                <w:color w:val="auto"/>
              </w:rPr>
            </w:pPr>
            <w:r>
              <w:rPr>
                <w:rFonts w:ascii="Arial" w:cs="Arial" w:eastAsia="Arial" w:hAnsi="Arial"/>
                <w:sz w:val="12"/>
                <w:szCs w:val="12"/>
                <w:b w:val="1"/>
                <w:bCs w:val="1"/>
                <w:color w:val="auto"/>
              </w:rPr>
              <w:t>2026</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8"/>
              <w:spacing w:after="0" w:line="121" w:lineRule="exact"/>
              <w:rPr>
                <w:sz w:val="20"/>
                <w:szCs w:val="20"/>
                <w:color w:val="auto"/>
              </w:rPr>
            </w:pPr>
            <w:r>
              <w:rPr>
                <w:rFonts w:ascii="Arial" w:cs="Arial" w:eastAsia="Arial" w:hAnsi="Arial"/>
                <w:sz w:val="12"/>
                <w:szCs w:val="12"/>
                <w:b w:val="1"/>
                <w:bCs w:val="1"/>
                <w:color w:val="auto"/>
              </w:rPr>
              <w:t>2025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Operating expenses:</w:t>
            </w:r>
          </w:p>
        </w:tc>
        <w:tc>
          <w:tcPr>
            <w:tcW w:w="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$ 19,461</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$ 14,101</w:t>
            </w: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$ 5,360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4,151</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020" w:type="dxa"/>
            <w:vAlign w:val="bottom"/>
          </w:tcPr>
          <w:p>
            <w:pPr>
              <w:ind w:left="560"/>
              <w:spacing w:after="0"/>
              <w:rPr>
                <w:sz w:val="20"/>
                <w:szCs w:val="20"/>
                <w:color w:val="auto"/>
              </w:rPr>
            </w:pPr>
            <w:r>
              <w:rPr>
                <w:rFonts w:ascii="Arial" w:cs="Arial" w:eastAsia="Arial" w:hAnsi="Arial"/>
                <w:sz w:val="14"/>
                <w:szCs w:val="14"/>
                <w:color w:val="auto"/>
              </w:rPr>
              <w:t>Total operating expenses</w:t>
            </w:r>
          </w:p>
        </w:tc>
        <w:tc>
          <w:tcPr>
            <w:tcW w:w="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760" w:type="dxa"/>
            <w:vAlign w:val="bottom"/>
            <w:gridSpan w:val="3"/>
            <w:shd w:val="clear" w:color="auto" w:fill="CCEEFF"/>
          </w:tcPr>
          <w:p>
            <w:pPr>
              <w:jc w:val="right"/>
              <w:ind w:right="79"/>
              <w:spacing w:after="0"/>
              <w:rPr>
                <w:sz w:val="20"/>
                <w:szCs w:val="20"/>
                <w:color w:val="auto"/>
              </w:rPr>
            </w:pPr>
            <w:r>
              <w:rPr>
                <w:rFonts w:ascii="Arial" w:cs="Arial" w:eastAsia="Arial" w:hAnsi="Arial"/>
                <w:sz w:val="14"/>
                <w:szCs w:val="14"/>
                <w:color w:val="auto"/>
              </w:rPr>
              <w:t>(23,612)</w:t>
            </w:r>
          </w:p>
        </w:tc>
        <w:tc>
          <w:tcPr>
            <w:tcW w:w="880" w:type="dxa"/>
            <w:vAlign w:val="bottom"/>
            <w:gridSpan w:val="3"/>
            <w:shd w:val="clear" w:color="auto" w:fill="CCEEFF"/>
          </w:tcPr>
          <w:p>
            <w:pPr>
              <w:jc w:val="right"/>
              <w:ind w:right="79"/>
              <w:spacing w:after="0"/>
              <w:rPr>
                <w:sz w:val="20"/>
                <w:szCs w:val="20"/>
                <w:color w:val="auto"/>
              </w:rPr>
            </w:pPr>
            <w:r>
              <w:rPr>
                <w:rFonts w:ascii="Arial" w:cs="Arial" w:eastAsia="Arial" w:hAnsi="Arial"/>
                <w:sz w:val="14"/>
                <w:szCs w:val="14"/>
                <w:color w:val="auto"/>
              </w:rPr>
              <w:t>(16,560)</w:t>
            </w:r>
          </w:p>
        </w:tc>
        <w:tc>
          <w:tcPr>
            <w:tcW w:w="74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(7,052)</w:t>
            </w:r>
          </w:p>
        </w:tc>
        <w:tc>
          <w:tcPr>
            <w:tcW w:w="0" w:type="dxa"/>
            <w:vAlign w:val="bottom"/>
          </w:tcPr>
          <w:p>
            <w:pPr>
              <w:spacing w:after="0"/>
              <w:rPr>
                <w:sz w:val="1"/>
                <w:szCs w:val="1"/>
                <w:color w:val="auto"/>
              </w:rPr>
            </w:pPr>
          </w:p>
        </w:tc>
      </w:tr>
      <w:tr>
        <w:trPr>
          <w:trHeight w:val="164"/>
        </w:trPr>
        <w:tc>
          <w:tcPr>
            <w:tcW w:w="504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Interest income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1,219</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Arial" w:cs="Arial" w:eastAsia="Arial" w:hAnsi="Arial"/>
                <w:sz w:val="14"/>
                <w:szCs w:val="14"/>
                <w:color w:val="auto"/>
              </w:rPr>
              <w:t>Other (expense) income, net</w:t>
            </w:r>
          </w:p>
        </w:tc>
        <w:tc>
          <w:tcPr>
            <w:tcW w:w="20" w:type="dxa"/>
            <w:vAlign w:val="bottom"/>
          </w:tcPr>
          <w:p>
            <w:pPr>
              <w:spacing w:after="0"/>
              <w:rPr>
                <w:sz w:val="14"/>
                <w:szCs w:val="14"/>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4"/>
                <w:szCs w:val="14"/>
                <w:color w:val="auto"/>
              </w:rPr>
              <w:t>(282)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591</w:t>
            </w:r>
          </w:p>
        </w:tc>
        <w:tc>
          <w:tcPr>
            <w:tcW w:w="160" w:type="dxa"/>
            <w:vAlign w:val="bottom"/>
          </w:tcPr>
          <w:p>
            <w:pPr>
              <w:spacing w:after="0"/>
              <w:rPr>
                <w:sz w:val="14"/>
                <w:szCs w:val="14"/>
                <w:color w:val="auto"/>
              </w:rPr>
            </w:pPr>
          </w:p>
        </w:tc>
        <w:tc>
          <w:tcPr>
            <w:tcW w:w="740" w:type="dxa"/>
            <w:vAlign w:val="bottom"/>
            <w:gridSpan w:val="3"/>
          </w:tcPr>
          <w:p>
            <w:pPr>
              <w:jc w:val="right"/>
              <w:ind w:right="19"/>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Total other income (expense), net</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64"/>
        </w:trPr>
        <w:tc>
          <w:tcPr>
            <w:tcW w:w="5040" w:type="dxa"/>
            <w:vAlign w:val="bottom"/>
            <w:gridSpan w:val="2"/>
          </w:tcPr>
          <w:p>
            <w:pPr>
              <w:spacing w:after="0"/>
              <w:rPr>
                <w:sz w:val="20"/>
                <w:szCs w:val="20"/>
                <w:color w:val="auto"/>
              </w:rPr>
            </w:pPr>
            <w:r>
              <w:rPr>
                <w:rFonts w:ascii="Arial" w:cs="Arial" w:eastAsia="Arial" w:hAnsi="Arial"/>
                <w:sz w:val="14"/>
                <w:szCs w:val="14"/>
                <w:color w:val="auto"/>
              </w:rPr>
              <w:t>Loss before income tax (expense) benefit</w:t>
            </w:r>
          </w:p>
        </w:tc>
        <w:tc>
          <w:tcPr>
            <w:tcW w:w="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(22,675)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 benefit</w:t>
            </w:r>
          </w:p>
        </w:tc>
        <w:tc>
          <w:tcPr>
            <w:tcW w:w="760" w:type="dxa"/>
            <w:vAlign w:val="bottom"/>
            <w:gridSpan w:val="3"/>
            <w:shd w:val="clear" w:color="auto" w:fill="CCEEFF"/>
          </w:tcPr>
          <w:p>
            <w:pPr>
              <w:jc w:val="right"/>
              <w:ind w:right="79"/>
              <w:spacing w:after="0"/>
              <w:rPr>
                <w:sz w:val="20"/>
                <w:szCs w:val="20"/>
                <w:color w:val="auto"/>
              </w:rPr>
            </w:pPr>
            <w:r>
              <w:rPr>
                <w:rFonts w:ascii="Arial" w:cs="Arial" w:eastAsia="Arial" w:hAnsi="Arial"/>
                <w:sz w:val="14"/>
                <w:szCs w:val="14"/>
                <w:color w:val="auto"/>
              </w:rPr>
              <w:t>(12)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6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9"/>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64"/>
        </w:trPr>
        <w:tc>
          <w:tcPr>
            <w:tcW w:w="50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w w:val="97"/>
              </w:rPr>
              <w:t>$</w:t>
            </w:r>
            <w:r>
              <w:rPr>
                <w:rFonts w:ascii="Arial" w:cs="Arial" w:eastAsia="Arial" w:hAnsi="Arial"/>
                <w:sz w:val="14"/>
                <w:szCs w:val="14"/>
                <w:color w:val="auto"/>
                <w:w w:val="97"/>
              </w:rPr>
              <w:t>(22,687</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(15,306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(7,381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Research and Development Expenses</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following table summarizes our research and development expenses for the periods presented (in thousands):</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ind w:right="50"/>
              <w:spacing w:after="0"/>
              <w:rPr>
                <w:sz w:val="20"/>
                <w:szCs w:val="20"/>
                <w:color w:val="auto"/>
              </w:rPr>
            </w:pPr>
            <w:r>
              <w:rPr>
                <w:rFonts w:ascii="Arial" w:cs="Arial" w:eastAsia="Arial" w:hAnsi="Arial"/>
                <w:sz w:val="12"/>
                <w:szCs w:val="12"/>
                <w:b w:val="1"/>
                <w:bCs w:val="1"/>
                <w:color w:val="auto"/>
                <w:w w:val="97"/>
              </w:rPr>
              <w:t>Three Months 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2"/>
                <w:szCs w:val="12"/>
                <w:b w:val="1"/>
                <w:bCs w:val="1"/>
                <w:color w:val="auto"/>
              </w:rPr>
              <w:t>March 31,</w:t>
            </w:r>
          </w:p>
        </w:tc>
        <w:tc>
          <w:tcPr>
            <w:tcW w:w="320" w:type="dxa"/>
            <w:vAlign w:val="bottom"/>
          </w:tcPr>
          <w:p>
            <w:pPr>
              <w:spacing w:after="0"/>
              <w:rPr>
                <w:sz w:val="12"/>
                <w:szCs w:val="12"/>
                <w:color w:val="auto"/>
              </w:rPr>
            </w:pP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92"/>
              <w:spacing w:after="0" w:line="121" w:lineRule="exact"/>
              <w:rPr>
                <w:sz w:val="20"/>
                <w:szCs w:val="20"/>
                <w:color w:val="auto"/>
              </w:rPr>
            </w:pPr>
            <w:r>
              <w:rPr>
                <w:rFonts w:ascii="Arial" w:cs="Arial" w:eastAsia="Arial" w:hAnsi="Arial"/>
                <w:sz w:val="12"/>
                <w:szCs w:val="12"/>
                <w:b w:val="1"/>
                <w:bCs w:val="1"/>
                <w:color w:val="auto"/>
              </w:rPr>
              <w:t>2026</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70"/>
              <w:spacing w:after="0" w:line="121" w:lineRule="exact"/>
              <w:rPr>
                <w:sz w:val="20"/>
                <w:szCs w:val="20"/>
                <w:color w:val="auto"/>
              </w:rPr>
            </w:pPr>
            <w:r>
              <w:rPr>
                <w:rFonts w:ascii="Arial" w:cs="Arial" w:eastAsia="Arial" w:hAnsi="Arial"/>
                <w:sz w:val="12"/>
                <w:szCs w:val="12"/>
                <w:b w:val="1"/>
                <w:bCs w:val="1"/>
                <w:color w:val="auto"/>
              </w:rPr>
              <w:t>2025</w:t>
            </w:r>
          </w:p>
        </w:tc>
        <w:tc>
          <w:tcPr>
            <w:tcW w:w="3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auto"/>
              </w:rPr>
              <w:t>External research and development costs by product candidate:</w:t>
            </w:r>
          </w:p>
        </w:tc>
        <w:tc>
          <w:tcPr>
            <w:tcW w:w="5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Arial" w:cs="Arial" w:eastAsia="Arial" w:hAnsi="Arial"/>
                <w:sz w:val="14"/>
                <w:szCs w:val="14"/>
                <w:color w:val="auto"/>
              </w:rPr>
              <w:t>sutacimig</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5,795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5,953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HMB-002</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9"/>
              </w:rPr>
              <w:t>(1,057)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2,058</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262</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Other research and development costs:</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Arial" w:cs="Arial" w:eastAsia="Arial" w:hAnsi="Arial"/>
                <w:sz w:val="14"/>
                <w:szCs w:val="14"/>
                <w:color w:val="auto"/>
              </w:rPr>
              <w:t>Personnel-related (excluding equity-based compensation)</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4,701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2,424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Equity-based compensation</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80" w:type="dxa"/>
            <w:vAlign w:val="bottom"/>
          </w:tcPr>
          <w:p>
            <w:pPr>
              <w:ind w:left="260"/>
              <w:spacing w:after="0"/>
              <w:rPr>
                <w:sz w:val="20"/>
                <w:szCs w:val="20"/>
                <w:color w:val="auto"/>
              </w:rPr>
            </w:pPr>
            <w:r>
              <w:rPr>
                <w:rFonts w:ascii="Arial" w:cs="Arial" w:eastAsia="Arial" w:hAnsi="Arial"/>
                <w:sz w:val="14"/>
                <w:szCs w:val="14"/>
                <w:color w:val="auto"/>
              </w:rPr>
              <w:t>Discovery and other</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color w:val="auto"/>
              </w:rPr>
              <w:t>Total research and development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19,461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jc w:val="right"/>
              <w:ind w:right="748"/>
              <w:spacing w:after="0"/>
              <w:rPr>
                <w:sz w:val="20"/>
                <w:szCs w:val="20"/>
                <w:color w:val="auto"/>
              </w:rPr>
            </w:pPr>
            <w:r>
              <w:rPr>
                <w:rFonts w:ascii="Arial" w:cs="Arial" w:eastAsia="Arial" w:hAnsi="Arial"/>
                <w:sz w:val="14"/>
                <w:szCs w:val="14"/>
                <w:color w:val="auto"/>
              </w:rPr>
              <w:t>29</w:t>
            </w: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15"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both"/>
        <w:ind w:left="1220" w:right="119" w:firstLine="353"/>
        <w:spacing w:after="0" w:line="256" w:lineRule="auto"/>
        <w:rPr>
          <w:sz w:val="20"/>
          <w:szCs w:val="20"/>
          <w:color w:val="auto"/>
        </w:rPr>
      </w:pPr>
      <w:r>
        <w:rPr>
          <w:rFonts w:ascii="Arial" w:cs="Arial" w:eastAsia="Arial" w:hAnsi="Arial"/>
          <w:sz w:val="14"/>
          <w:szCs w:val="14"/>
          <w:color w:val="auto"/>
        </w:rPr>
        <w:t>Total research and development expenses were $19.5 million for the three months ended March 31, 2026, compared to $14.1 million for the three months ended March 31, 2025. The $5.4 million increase in research and development expenses for the three months ended March 31, 2026 was primarily due to an increase of $2.3 million in personnel-related costs and an increase of $2.2 million in discovery and other costs related to adding consultancy resources for medical and clinical operations.</w:t>
      </w:r>
    </w:p>
    <w:p>
      <w:pPr>
        <w:spacing w:after="0" w:line="135"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External research and development expenses related to sutacimig for the three months ended March 31, 2026 and 2025 were</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$5.8 million and $6.0 million, respectively. The decrease of $0.2 million for the three months ended March 31, 2026 was primarily driven by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reduced Chemistry, Manufacturing, and Controls, or CMC, costs.</w:t>
      </w:r>
    </w:p>
    <w:p>
      <w:pPr>
        <w:spacing w:after="0" w:line="160"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External research and development expenses related to HMB-002 for the three months ended March 31, 2026 and 2025 were</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$3.5 million and $4.6 million, respectively. The decrease of $1.1 million for the three months ended March 31, 2026 was primarily driven by</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start-up costs related to the Phase 1/2 clinical trial of HMB-002 during the three months ended March 31, 2025 as compared to the three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months ended March 31, 2026.</w:t>
      </w:r>
    </w:p>
    <w:p>
      <w:pPr>
        <w:spacing w:after="0" w:line="160" w:lineRule="exact"/>
        <w:rPr>
          <w:sz w:val="20"/>
          <w:szCs w:val="20"/>
          <w:color w:val="auto"/>
        </w:rPr>
      </w:pPr>
    </w:p>
    <w:p>
      <w:pPr>
        <w:ind w:left="1220" w:right="139" w:firstLine="353"/>
        <w:spacing w:after="0" w:line="263" w:lineRule="auto"/>
        <w:rPr>
          <w:sz w:val="20"/>
          <w:szCs w:val="20"/>
          <w:color w:val="auto"/>
        </w:rPr>
      </w:pPr>
      <w:r>
        <w:rPr>
          <w:rFonts w:ascii="Arial" w:cs="Arial" w:eastAsia="Arial" w:hAnsi="Arial"/>
          <w:sz w:val="14"/>
          <w:szCs w:val="14"/>
          <w:color w:val="auto"/>
        </w:rPr>
        <w:t>Other external research and development expenses increased by $ 1.8 million for the three months ended March 31, 2026 compared to the three months ended March 31, 2025, primarily driven by continued CMC activities related to our preclinical programs and other increased preclinical development costs.</w:t>
      </w:r>
    </w:p>
    <w:p>
      <w:pPr>
        <w:spacing w:after="0" w:line="131" w:lineRule="exact"/>
        <w:rPr>
          <w:sz w:val="20"/>
          <w:szCs w:val="20"/>
          <w:color w:val="auto"/>
        </w:rPr>
      </w:pPr>
    </w:p>
    <w:p>
      <w:pPr>
        <w:ind w:left="1220" w:right="259" w:firstLine="353"/>
        <w:spacing w:after="0" w:line="258" w:lineRule="auto"/>
        <w:rPr>
          <w:sz w:val="20"/>
          <w:szCs w:val="20"/>
          <w:color w:val="auto"/>
        </w:rPr>
      </w:pPr>
      <w:r>
        <w:rPr>
          <w:rFonts w:ascii="Arial" w:cs="Arial" w:eastAsia="Arial" w:hAnsi="Arial"/>
          <w:sz w:val="14"/>
          <w:szCs w:val="14"/>
          <w:color w:val="auto"/>
        </w:rPr>
        <w:t>Personnel-related expenses and equity-based compensation increased by $2.3 million and $0.4 million in the three months ended March 31, 2026, respectively, compared to the three months ended March 31, 2025, primarily driven by a significant increase in average headcount across clinical development, CMC, and clinical operations related to the pursuit of identifying and developing product candidates.</w:t>
      </w:r>
    </w:p>
    <w:p>
      <w:pPr>
        <w:spacing w:after="0" w:line="303" w:lineRule="exact"/>
        <w:rPr>
          <w:sz w:val="20"/>
          <w:szCs w:val="20"/>
          <w:color w:val="auto"/>
        </w:rPr>
      </w:pPr>
    </w:p>
    <w:p>
      <w:pPr>
        <w:jc w:val="both"/>
        <w:ind w:left="1220" w:right="519" w:firstLine="353"/>
        <w:spacing w:after="0" w:line="263" w:lineRule="auto"/>
        <w:rPr>
          <w:sz w:val="20"/>
          <w:szCs w:val="20"/>
          <w:color w:val="auto"/>
        </w:rPr>
      </w:pPr>
      <w:r>
        <w:rPr>
          <w:rFonts w:ascii="Arial" w:cs="Arial" w:eastAsia="Arial" w:hAnsi="Arial"/>
          <w:sz w:val="14"/>
          <w:szCs w:val="14"/>
          <w:color w:val="auto"/>
        </w:rPr>
        <w:t>Discovery and other costs increased by $2.1 million for the three months ended March 31, 2026 compared to the three months ended March 31, 2025, primarily driven by an increase in discovery activities and consultancy expense related to clinical operations, clinical research, and regulatory research.</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General and Administrative Expenses</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following table summarizes our general and administrative expenses for the periods presented (in thousands):</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gridSpan w:val="4"/>
          </w:tcPr>
          <w:p>
            <w:pPr>
              <w:jc w:val="right"/>
              <w:ind w:right="190"/>
              <w:spacing w:after="0"/>
              <w:rPr>
                <w:sz w:val="20"/>
                <w:szCs w:val="20"/>
                <w:color w:val="auto"/>
              </w:rPr>
            </w:pPr>
            <w:r>
              <w:rPr>
                <w:rFonts w:ascii="Arial" w:cs="Arial" w:eastAsia="Arial" w:hAnsi="Arial"/>
                <w:sz w:val="12"/>
                <w:szCs w:val="12"/>
                <w:b w:val="1"/>
                <w:bCs w:val="1"/>
                <w:color w:val="auto"/>
              </w:rPr>
              <w:t>Three Months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2"/>
                <w:szCs w:val="12"/>
                <w:b w:val="1"/>
                <w:bCs w:val="1"/>
                <w:color w:val="auto"/>
              </w:rPr>
              <w:t>Ended March 31,</w:t>
            </w:r>
          </w:p>
        </w:tc>
        <w:tc>
          <w:tcPr>
            <w:tcW w:w="320" w:type="dxa"/>
            <w:vAlign w:val="bottom"/>
          </w:tcPr>
          <w:p>
            <w:pPr>
              <w:spacing w:after="0"/>
              <w:rPr>
                <w:sz w:val="12"/>
                <w:szCs w:val="12"/>
                <w:color w:val="auto"/>
              </w:rPr>
            </w:pPr>
          </w:p>
        </w:tc>
        <w:tc>
          <w:tcPr>
            <w:tcW w:w="5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jc w:val="right"/>
              <w:ind w:right="57"/>
              <w:spacing w:after="0" w:line="121" w:lineRule="exact"/>
              <w:rPr>
                <w:sz w:val="20"/>
                <w:szCs w:val="20"/>
                <w:color w:val="auto"/>
              </w:rPr>
            </w:pPr>
            <w:r>
              <w:rPr>
                <w:rFonts w:ascii="Arial" w:cs="Arial" w:eastAsia="Arial" w:hAnsi="Arial"/>
                <w:sz w:val="12"/>
                <w:szCs w:val="12"/>
                <w:b w:val="1"/>
                <w:bCs w:val="1"/>
                <w:color w:val="auto"/>
              </w:rPr>
              <w:t>2026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50"/>
              <w:spacing w:after="0" w:line="121" w:lineRule="exact"/>
              <w:rPr>
                <w:sz w:val="20"/>
                <w:szCs w:val="20"/>
                <w:color w:val="auto"/>
              </w:rPr>
            </w:pPr>
            <w:r>
              <w:rPr>
                <w:rFonts w:ascii="Arial" w:cs="Arial" w:eastAsia="Arial" w:hAnsi="Arial"/>
                <w:sz w:val="12"/>
                <w:szCs w:val="12"/>
                <w:b w:val="1"/>
                <w:bCs w:val="1"/>
                <w:color w:val="auto"/>
                <w:w w:val="89"/>
              </w:rPr>
              <w:t>2025</w:t>
            </w:r>
          </w:p>
        </w:tc>
        <w:tc>
          <w:tcPr>
            <w:tcW w:w="32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2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Personnel-related (excluding equity-based compensation)</w:t>
            </w:r>
          </w:p>
        </w:tc>
        <w:tc>
          <w:tcPr>
            <w:tcW w:w="84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7"/>
              </w:rPr>
              <w:t>$1,032</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760</w:t>
            </w:r>
          </w:p>
        </w:tc>
        <w:tc>
          <w:tcPr>
            <w:tcW w:w="3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272</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753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Professional services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520" w:type="dxa"/>
            <w:vAlign w:val="bottom"/>
          </w:tcPr>
          <w:p>
            <w:pPr>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general and administrative expense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1,692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1220" w:right="299" w:firstLine="353"/>
        <w:spacing w:after="0" w:line="256" w:lineRule="auto"/>
        <w:rPr>
          <w:sz w:val="20"/>
          <w:szCs w:val="20"/>
          <w:color w:val="auto"/>
        </w:rPr>
      </w:pPr>
      <w:r>
        <w:rPr>
          <w:rFonts w:ascii="Arial" w:cs="Arial" w:eastAsia="Arial" w:hAnsi="Arial"/>
          <w:sz w:val="14"/>
          <w:szCs w:val="14"/>
          <w:color w:val="auto"/>
        </w:rPr>
        <w:t>Total general and administrative expenses were $4.2 million for the three months ended March 31, 2026, compared to $2.5 million for the three months ended March 31, 2025. The $1.7 million increase was primarily due to an increase in personnel-related costs and equity-based compensation of $ 0.3 million and $0.5 million, respectively, driven by an increase in average headcount as well as an increase in professional service fees of $0.8 million.</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Other Income (Expense), Net</w:t>
      </w:r>
    </w:p>
    <w:p>
      <w:pPr>
        <w:spacing w:after="0" w:line="86" w:lineRule="exact"/>
        <w:rPr>
          <w:sz w:val="20"/>
          <w:szCs w:val="20"/>
          <w:color w:val="auto"/>
        </w:rPr>
      </w:pPr>
    </w:p>
    <w:p>
      <w:pPr>
        <w:ind w:left="1220" w:right="179" w:firstLine="353"/>
        <w:spacing w:after="0" w:line="253" w:lineRule="auto"/>
        <w:rPr>
          <w:sz w:val="20"/>
          <w:szCs w:val="20"/>
          <w:color w:val="auto"/>
        </w:rPr>
      </w:pPr>
      <w:r>
        <w:rPr>
          <w:rFonts w:ascii="Arial" w:cs="Arial" w:eastAsia="Arial" w:hAnsi="Arial"/>
          <w:sz w:val="14"/>
          <w:szCs w:val="14"/>
          <w:color w:val="auto"/>
        </w:rPr>
        <w:t>Other income (expense), net for the three months ended March 31, 2026 and 2025 were net income of $1.0 million and $1.1 million, respectively. The $0.1 million decrease was primarily related to foreign currency losses recognized due to unfavorable movements between the currencies which we regularly transact in, including DKK, Euros, British Pounds and our functional currency, the U.S. Dollar. This was offset by an increase in interest income of $0.7 million due to an increase in accretion income related to our available-for-sale debt securities.</w:t>
      </w:r>
    </w:p>
    <w:p>
      <w:pPr>
        <w:spacing w:after="0" w:line="39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Liquidity and Capital Resources</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86" w:lineRule="exact"/>
        <w:rPr>
          <w:sz w:val="20"/>
          <w:szCs w:val="20"/>
          <w:color w:val="auto"/>
        </w:rPr>
      </w:pPr>
    </w:p>
    <w:p>
      <w:pPr>
        <w:ind w:left="1220" w:right="99" w:firstLine="353"/>
        <w:spacing w:after="0" w:line="258" w:lineRule="auto"/>
        <w:rPr>
          <w:sz w:val="20"/>
          <w:szCs w:val="20"/>
          <w:color w:val="auto"/>
        </w:rPr>
      </w:pPr>
      <w:r>
        <w:rPr>
          <w:rFonts w:ascii="Arial" w:cs="Arial" w:eastAsia="Arial" w:hAnsi="Arial"/>
          <w:sz w:val="14"/>
          <w:szCs w:val="14"/>
          <w:color w:val="auto"/>
        </w:rPr>
        <w:t>Since our inception, we have incurred significant operating losses. To date, we have financed our operations primarily through private placements of convertible preference shares and issuance of convertible debt and, most recently, from the sale of common stock in our IPO in May 2026. Through May 21, 2026, we have received aggregate gross proceeds of approximately $692.7 million from such transactions.</w:t>
      </w:r>
    </w:p>
    <w:p>
      <w:pPr>
        <w:spacing w:after="0" w:line="24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159"/>
          </w:cols>
          <w:pgMar w:left="300" w:top="415"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Cash Flows</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following table provides information regarding our cash flows for the periods presented (in thousands):</w:t>
      </w:r>
    </w:p>
    <w:p>
      <w:pPr>
        <w:spacing w:after="0" w:line="194" w:lineRule="exact"/>
        <w:rPr>
          <w:sz w:val="20"/>
          <w:szCs w:val="20"/>
          <w:color w:val="auto"/>
        </w:rPr>
      </w:pPr>
    </w:p>
    <w:tbl>
      <w:tblPr>
        <w:tblLayout w:type="fixed"/>
        <w:tblInd w:w="19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2"/>
                <w:szCs w:val="12"/>
                <w:b w:val="1"/>
                <w:bCs w:val="1"/>
                <w:color w:val="auto"/>
              </w:rPr>
              <w:t>March 31,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5"/>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jc w:val="right"/>
              <w:ind w:right="97"/>
              <w:spacing w:after="0" w:line="121" w:lineRule="exact"/>
              <w:rPr>
                <w:sz w:val="20"/>
                <w:szCs w:val="20"/>
                <w:color w:val="auto"/>
              </w:rPr>
            </w:pPr>
            <w:r>
              <w:rPr>
                <w:rFonts w:ascii="Arial" w:cs="Arial" w:eastAsia="Arial" w:hAnsi="Arial"/>
                <w:sz w:val="12"/>
                <w:szCs w:val="12"/>
                <w:b w:val="1"/>
                <w:bCs w:val="1"/>
                <w:color w:val="auto"/>
              </w:rPr>
              <w:t>2026</w:t>
            </w:r>
          </w:p>
        </w:tc>
        <w:tc>
          <w:tcPr>
            <w:tcW w:w="1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08"/>
              <w:spacing w:after="0" w:line="121" w:lineRule="exact"/>
              <w:rPr>
                <w:sz w:val="20"/>
                <w:szCs w:val="20"/>
                <w:color w:val="auto"/>
              </w:rPr>
            </w:pPr>
            <w:r>
              <w:rPr>
                <w:rFonts w:ascii="Arial" w:cs="Arial" w:eastAsia="Arial" w:hAnsi="Arial"/>
                <w:sz w:val="12"/>
                <w:szCs w:val="12"/>
                <w:b w:val="1"/>
                <w:bCs w:val="1"/>
                <w:color w:val="auto"/>
              </w:rPr>
              <w:t>2025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Borders>
              <w:top w:val="single" w:sz="8" w:color="CCEEFF"/>
            </w:tcBorders>
            <w:shd w:val="clear" w:color="auto" w:fill="CCEEFF"/>
          </w:tcPr>
          <w:p>
            <w:pPr>
              <w:spacing w:after="0" w:line="153" w:lineRule="exact"/>
              <w:rPr>
                <w:sz w:val="20"/>
                <w:szCs w:val="20"/>
                <w:color w:val="auto"/>
              </w:rPr>
            </w:pPr>
            <w:r>
              <w:rPr>
                <w:rFonts w:ascii="Arial" w:cs="Arial" w:eastAsia="Arial" w:hAnsi="Arial"/>
                <w:sz w:val="14"/>
                <w:szCs w:val="14"/>
                <w:color w:val="auto"/>
              </w:rPr>
              <w:t>Net cash used in operating activities</w:t>
            </w:r>
          </w:p>
        </w:tc>
        <w:tc>
          <w:tcPr>
            <w:tcW w:w="2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3"/>
              </w:rPr>
              <w:t>$(21,584)</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$(13,033)</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(8,551)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gridSpan w:val="3"/>
          </w:tcPr>
          <w:p>
            <w:pPr>
              <w:jc w:val="right"/>
              <w:ind w:right="140"/>
              <w:spacing w:after="0"/>
              <w:rPr>
                <w:sz w:val="20"/>
                <w:szCs w:val="20"/>
                <w:color w:val="auto"/>
              </w:rPr>
            </w:pPr>
            <w:r>
              <w:rPr>
                <w:rFonts w:ascii="Arial" w:cs="Arial" w:eastAsia="Arial" w:hAnsi="Arial"/>
                <w:sz w:val="14"/>
                <w:szCs w:val="14"/>
                <w:color w:val="auto"/>
              </w:rPr>
              <w:t>(15,847)</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(5,994)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(9,853)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(460)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decrease in cash and cash equivalents</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(38,114)</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(19,056)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Operating Activities</w:t>
      </w:r>
    </w:p>
    <w:p>
      <w:pPr>
        <w:spacing w:after="0" w:line="86"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Our cash flows from operating activities are significantly influenced by our use of cash for operating expenses and working capital requirements to support our business. We have historically experienced negative cash flows from operating activities as we invested in the research and development of our product candidates and programs, including preclinical studies, clinical trials, manufacturing and manufacturing process development. The cash used in operating activities resulted primarily from our net losses adjusted for non-cash charges, which are generally due to equity-based compensation, depreciation and amortization and non-cash lease expense, non-cash interest income, as well as changes in components of operating assets and liabilities, which are generally due to increased expenses and timing of vendor payments.</w:t>
      </w:r>
    </w:p>
    <w:p>
      <w:pPr>
        <w:spacing w:after="0" w:line="140"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During the three months ended March 31, 2026, net cash used in operating activities was $21.6 million, due to a net loss of</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$22.7 million, which was partially offset by changes in operating assets and liabilities that provided $0.4 million in cash and net non-cash</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expenses of $0.7 million.</w:t>
      </w:r>
    </w:p>
    <w:p>
      <w:pPr>
        <w:spacing w:after="0" w:line="160"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During the three months ended March 31, 2025, net cash used in operating activities was $13.0 million, due to a net loss of</w:t>
      </w:r>
    </w:p>
    <w:p>
      <w:pPr>
        <w:spacing w:after="0" w:line="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$15.9 million, which was partially offset by changes in operating assets and liabilities that provided $2.0 million in cash and net non-cash</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expenses of $0.9 million.</w:t>
      </w:r>
    </w:p>
    <w:p>
      <w:pPr>
        <w:spacing w:after="0" w:line="24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Investing Activities</w:t>
      </w:r>
    </w:p>
    <w:p>
      <w:pPr>
        <w:spacing w:after="0" w:line="86" w:lineRule="exact"/>
        <w:rPr>
          <w:sz w:val="20"/>
          <w:szCs w:val="20"/>
          <w:color w:val="auto"/>
        </w:rPr>
      </w:pPr>
    </w:p>
    <w:p>
      <w:pPr>
        <w:ind w:left="1220" w:right="219" w:firstLine="353"/>
        <w:spacing w:after="0" w:line="285" w:lineRule="auto"/>
        <w:rPr>
          <w:sz w:val="20"/>
          <w:szCs w:val="20"/>
          <w:color w:val="auto"/>
        </w:rPr>
      </w:pPr>
      <w:r>
        <w:rPr>
          <w:rFonts w:ascii="Arial" w:cs="Arial" w:eastAsia="Arial" w:hAnsi="Arial"/>
          <w:sz w:val="14"/>
          <w:szCs w:val="14"/>
          <w:color w:val="auto"/>
        </w:rPr>
        <w:t>During the three months ended March 31, 2026, net cash used in investing activities was $15.8 million, which primarily consisted of purchases of marketable securities and property and equipment.</w:t>
      </w:r>
    </w:p>
    <w:p>
      <w:pPr>
        <w:spacing w:after="0" w:line="115" w:lineRule="exact"/>
        <w:rPr>
          <w:sz w:val="20"/>
          <w:szCs w:val="20"/>
          <w:color w:val="auto"/>
        </w:rPr>
      </w:pPr>
    </w:p>
    <w:p>
      <w:pPr>
        <w:ind w:left="1220" w:right="299" w:firstLine="353"/>
        <w:spacing w:after="0" w:line="285" w:lineRule="auto"/>
        <w:rPr>
          <w:sz w:val="20"/>
          <w:szCs w:val="20"/>
          <w:color w:val="auto"/>
        </w:rPr>
      </w:pPr>
      <w:r>
        <w:rPr>
          <w:rFonts w:ascii="Arial" w:cs="Arial" w:eastAsia="Arial" w:hAnsi="Arial"/>
          <w:sz w:val="14"/>
          <w:szCs w:val="14"/>
          <w:color w:val="auto"/>
        </w:rPr>
        <w:t>During the three months ended March 31, 2025, net cash used in investing activities was $6.0 million, which primarily consisted of purchases of marketable securities, which were partially offset by maturities of marketable securities.</w:t>
      </w: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Financing Activities</w:t>
      </w:r>
    </w:p>
    <w:p>
      <w:pPr>
        <w:spacing w:after="0" w:line="86" w:lineRule="exact"/>
        <w:rPr>
          <w:sz w:val="20"/>
          <w:szCs w:val="20"/>
          <w:color w:val="auto"/>
        </w:rPr>
      </w:pPr>
    </w:p>
    <w:p>
      <w:pPr>
        <w:ind w:left="1220" w:right="219" w:firstLine="353"/>
        <w:spacing w:after="0" w:line="285" w:lineRule="auto"/>
        <w:rPr>
          <w:sz w:val="20"/>
          <w:szCs w:val="20"/>
          <w:color w:val="auto"/>
        </w:rPr>
      </w:pPr>
      <w:r>
        <w:rPr>
          <w:rFonts w:ascii="Arial" w:cs="Arial" w:eastAsia="Arial" w:hAnsi="Arial"/>
          <w:sz w:val="14"/>
          <w:szCs w:val="14"/>
          <w:color w:val="auto"/>
        </w:rPr>
        <w:t>During the three months ended March 31, 2026, net cash used in financing activities was $0.1 million, related to principal payments on finance lease obligations and payment of deferred offering costs associated with the IPO.</w:t>
      </w:r>
    </w:p>
    <w:p>
      <w:pPr>
        <w:spacing w:after="0" w:line="115" w:lineRule="exact"/>
        <w:rPr>
          <w:sz w:val="20"/>
          <w:szCs w:val="20"/>
          <w:color w:val="auto"/>
        </w:rPr>
      </w:pPr>
    </w:p>
    <w:p>
      <w:pPr>
        <w:ind w:left="1220" w:right="219" w:firstLine="353"/>
        <w:spacing w:after="0" w:line="285" w:lineRule="auto"/>
        <w:rPr>
          <w:sz w:val="20"/>
          <w:szCs w:val="20"/>
          <w:color w:val="auto"/>
        </w:rPr>
      </w:pPr>
      <w:r>
        <w:rPr>
          <w:rFonts w:ascii="Arial" w:cs="Arial" w:eastAsia="Arial" w:hAnsi="Arial"/>
          <w:sz w:val="14"/>
          <w:szCs w:val="14"/>
          <w:color w:val="auto"/>
        </w:rPr>
        <w:t>During the three months ended March 31, 2025, net cash used in financing activities was $0.1 million, related to principal payments on finance lease obligations.</w:t>
      </w: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86"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We expect our expenses to increase substantially in connection with our ongoing and planned 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In addition, if we obtain marketing approval for our product candidates and any other product candidates we may identify and pursue, we expect to incur significant commercialization expenses related to product manufacturing, sales, marketing and distribution. Furthermore, we expect to incur additional costs associated with operating as a public company. As a result, we expect to continue to incur significant operating expenses and net losses for the foreseeable future.</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159"/>
          </w:cols>
          <w:pgMar w:left="300" w:top="41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As of March 31, 2026, we had total cash, cash equivalents and marketable securities of $163.5 million. We believe that our existing cash, cash equivalents and marketable securities, together with net proceeds from the IPO of approximately $ 317.2 million, will enable us to fund our operating expenses and capital expenditure requirements into 2029. We have based this estimate on assumptions that may prove to be wrong, and we could exhaust our available capital resources sooner than we expect.</w:t>
      </w:r>
    </w:p>
    <w:p>
      <w:pPr>
        <w:spacing w:after="0" w:line="135"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Because of the numerous risks and uncertainties associated with product development, and because the extent to which we may enter into collaborations with third-parties for the development of our product candidates is unknown,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We anticipate that our expenses will increase substantially if and as we:</w:t>
      </w:r>
    </w:p>
    <w:p>
      <w:pPr>
        <w:spacing w:after="0" w:line="64" w:lineRule="exact"/>
        <w:rPr>
          <w:sz w:val="20"/>
          <w:szCs w:val="20"/>
          <w:color w:val="auto"/>
        </w:rPr>
      </w:pPr>
    </w:p>
    <w:p>
      <w:pPr>
        <w:ind w:left="2000" w:right="119" w:hanging="338"/>
        <w:spacing w:after="0" w:line="256"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59" w:lineRule="exact"/>
        <w:rPr>
          <w:rFonts w:ascii="Arial" w:cs="Arial" w:eastAsia="Arial" w:hAnsi="Arial"/>
          <w:sz w:val="14"/>
          <w:szCs w:val="14"/>
          <w:color w:val="auto"/>
        </w:rPr>
      </w:pPr>
    </w:p>
    <w:p>
      <w:pPr>
        <w:ind w:left="2000" w:right="479" w:hanging="338"/>
        <w:spacing w:after="0" w:line="263"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w:t>
      </w:r>
    </w:p>
    <w:p>
      <w:pPr>
        <w:spacing w:after="0" w:line="98" w:lineRule="exact"/>
        <w:rPr>
          <w:rFonts w:ascii="Arial" w:cs="Arial" w:eastAsia="Arial" w:hAnsi="Arial"/>
          <w:sz w:val="14"/>
          <w:szCs w:val="14"/>
          <w:color w:val="auto"/>
        </w:rPr>
      </w:pPr>
    </w:p>
    <w:p>
      <w:pPr>
        <w:ind w:left="2000" w:right="119" w:hanging="338"/>
        <w:spacing w:after="0" w:line="263"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8"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8" w:lineRule="exact"/>
        <w:rPr>
          <w:rFonts w:ascii="Arial" w:cs="Arial" w:eastAsia="Arial" w:hAnsi="Arial"/>
          <w:sz w:val="14"/>
          <w:szCs w:val="14"/>
          <w:color w:val="auto"/>
        </w:rPr>
      </w:pPr>
    </w:p>
    <w:p>
      <w:pPr>
        <w:ind w:left="2000" w:right="239" w:hanging="338"/>
        <w:spacing w:after="0" w:line="263" w:lineRule="auto"/>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159"/>
          </w:cols>
          <w:pgMar w:left="300" w:top="415"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479" w:hanging="338"/>
        <w:spacing w:after="0" w:line="285" w:lineRule="auto"/>
        <w:tabs>
          <w:tab w:leader="none" w:pos="20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make any milestone, royalty, or other payments under the Novo Nordisk Agreement, under the Genmab Agreement, and under any additional future collaboration or license agreements that we may enter into.</w:t>
      </w:r>
    </w:p>
    <w:p>
      <w:pPr>
        <w:spacing w:after="0" w:line="11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9" w:lineRule="exact"/>
        <w:rPr>
          <w:sz w:val="20"/>
          <w:szCs w:val="20"/>
          <w:color w:val="auto"/>
        </w:rPr>
      </w:pPr>
    </w:p>
    <w:p>
      <w:pPr>
        <w:ind w:left="2000" w:right="159" w:hanging="338"/>
        <w:spacing w:after="0" w:line="285" w:lineRule="auto"/>
        <w:tabs>
          <w:tab w:leader="none" w:pos="2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are required by the U.S. Food and Drug Administration, the European Medicines Agency, or other regulatory authorities to perform clinical trials or preclinical studies that are in addition to, or different than, those expected;</w:t>
      </w:r>
    </w:p>
    <w:p>
      <w:pPr>
        <w:spacing w:after="0" w:line="39" w:lineRule="exact"/>
        <w:rPr>
          <w:rFonts w:ascii="Arial" w:cs="Arial" w:eastAsia="Arial" w:hAnsi="Arial"/>
          <w:sz w:val="14"/>
          <w:szCs w:val="14"/>
          <w:color w:val="auto"/>
        </w:rPr>
      </w:pPr>
    </w:p>
    <w:p>
      <w:pPr>
        <w:ind w:left="2000" w:right="119" w:hanging="338"/>
        <w:spacing w:after="0" w:line="262" w:lineRule="auto"/>
        <w:tabs>
          <w:tab w:leader="none" w:pos="2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246"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15" w:lineRule="exact"/>
        <w:rPr>
          <w:sz w:val="20"/>
          <w:szCs w:val="20"/>
          <w:color w:val="auto"/>
        </w:rPr>
      </w:pPr>
    </w:p>
    <w:p>
      <w:pPr>
        <w:ind w:left="1220" w:right="279" w:firstLine="353"/>
        <w:spacing w:after="0" w:line="252" w:lineRule="auto"/>
        <w:rPr>
          <w:sz w:val="20"/>
          <w:szCs w:val="20"/>
          <w:color w:val="auto"/>
        </w:rPr>
      </w:pPr>
      <w:r>
        <w:rPr>
          <w:rFonts w:ascii="Arial" w:cs="Arial" w:eastAsia="Arial" w:hAnsi="Arial"/>
          <w:sz w:val="14"/>
          <w:szCs w:val="14"/>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39"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Our expectation with respect to our ability to fund current planned operations is based on estimates that are subject to risks and uncertainties. Our operating plan may change as a result of many factors currently unknown to management and there can be no assurance that the current operating plan will be achieved in the time frame anticipated by us, and we may need to seek additional funds sooner than planned. If we are unable to raise this capital when needed, we may be forced to delay, limit, reduce or eliminate one or more of our research and development programs or other operations.</w:t>
      </w:r>
    </w:p>
    <w:p>
      <w:pPr>
        <w:spacing w:after="0" w:line="139"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Adequate additional funds may not be available to us on acceptable terms, or at all. We do not have any source of committed capital or external funds. To the extent that we raise additional capital through the sale of equity or convertible debt securities, your ownership interest will be diluted, and the terms of these securities may include liquidation or other preferences that adversely affect your rights as stockholder. Additional debt financing and preferred equity financing, if available, may involve agreements that include covenants limiting or restricting our ability to take specific actions, such as incurring debt, selling or licensing our assets, making capital expenditures or declaring dividends or encumbering our assets to secure future indebtedness. If we raise additional funds through equity offerings, debt financings, royalty financings, collaborations, strategic alliances and marketing, distribution or licensing arrangements, we may have to relinquish valuable rights to our technologies, future revenue streams, research programs or development product candidates or grant licenses on terms that may not be favorable to us. If we are unable to raise additional funds when needed or on terms acceptable to us, we may be required to delay, limit, reduce or terminate our product development programs or future commercialization efforts or grant rights to develop and market product candidates that we would otherwise prefer to develop and market ourselves.</w:t>
      </w:r>
    </w:p>
    <w:p>
      <w:pPr>
        <w:spacing w:after="0" w:line="143" w:lineRule="exact"/>
        <w:rPr>
          <w:sz w:val="20"/>
          <w:szCs w:val="20"/>
          <w:color w:val="auto"/>
        </w:rPr>
      </w:pPr>
    </w:p>
    <w:p>
      <w:pPr>
        <w:jc w:val="both"/>
        <w:ind w:left="1220" w:right="339" w:firstLine="353"/>
        <w:spacing w:after="0" w:line="263" w:lineRule="auto"/>
        <w:rPr>
          <w:sz w:val="20"/>
          <w:szCs w:val="20"/>
          <w:color w:val="auto"/>
        </w:rPr>
      </w:pPr>
      <w:r>
        <w:rPr>
          <w:rFonts w:ascii="Arial" w:cs="Arial" w:eastAsia="Arial" w:hAnsi="Arial"/>
          <w:sz w:val="14"/>
          <w:szCs w:val="14"/>
          <w:color w:val="auto"/>
        </w:rPr>
        <w:t>For additional information on risks associated with our substantial capital requirements, please see “</w:t>
      </w:r>
      <w:r>
        <w:rPr>
          <w:rFonts w:ascii="Arial" w:cs="Arial" w:eastAsia="Arial" w:hAnsi="Arial"/>
          <w:sz w:val="14"/>
          <w:szCs w:val="14"/>
          <w:i w:val="1"/>
          <w:iCs w:val="1"/>
          <w:color w:val="auto"/>
        </w:rPr>
        <w:t>Risk Factors — We will need</w:t>
      </w:r>
      <w:r>
        <w:rPr>
          <w:rFonts w:ascii="Arial" w:cs="Arial" w:eastAsia="Arial" w:hAnsi="Arial"/>
          <w:sz w:val="14"/>
          <w:szCs w:val="14"/>
          <w:color w:val="auto"/>
        </w:rPr>
        <w:t xml:space="preserve"> </w:t>
      </w:r>
      <w:r>
        <w:rPr>
          <w:rFonts w:ascii="Arial" w:cs="Arial" w:eastAsia="Arial" w:hAnsi="Arial"/>
          <w:sz w:val="14"/>
          <w:szCs w:val="14"/>
          <w:i w:val="1"/>
          <w:iCs w:val="1"/>
          <w:color w:val="auto"/>
        </w:rPr>
        <w:t>substantial additional funding. If we are unable to raise capital on acceptable terms when needed, or at all, we could be forced to delay, reduce or eliminate our product development programs or commercialization efforts</w:t>
      </w:r>
      <w:r>
        <w:rPr>
          <w:rFonts w:ascii="Arial" w:cs="Arial" w:eastAsia="Arial" w:hAnsi="Arial"/>
          <w:sz w:val="14"/>
          <w:szCs w:val="14"/>
          <w:color w:val="auto"/>
        </w:rPr>
        <w:t>.”</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Contractual Obligations and Commitments</w:t>
      </w:r>
    </w:p>
    <w:p>
      <w:pPr>
        <w:spacing w:after="0" w:line="88"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Leases</w:t>
      </w:r>
    </w:p>
    <w:p>
      <w:pPr>
        <w:spacing w:after="0" w:line="86"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In January 2023, we entered into a finance lease for certain laboratory equipment in Copenhagen, Denmark. The laboratory equipment was classified as a finance lease due to the existence of a bargain purchase option in the lease agreement. In connection with this lease, we recorded a finance lease right-of-use asset and finance lease liability of approximately $0.5 million.</w:t>
      </w:r>
    </w:p>
    <w:p>
      <w:pPr>
        <w:spacing w:after="0" w:line="131" w:lineRule="exact"/>
        <w:rPr>
          <w:sz w:val="20"/>
          <w:szCs w:val="20"/>
          <w:color w:val="auto"/>
        </w:rPr>
      </w:pPr>
    </w:p>
    <w:p>
      <w:pPr>
        <w:ind w:left="1220" w:right="119" w:firstLine="353"/>
        <w:spacing w:after="0" w:line="263" w:lineRule="auto"/>
        <w:rPr>
          <w:sz w:val="20"/>
          <w:szCs w:val="20"/>
          <w:color w:val="auto"/>
        </w:rPr>
      </w:pPr>
      <w:r>
        <w:rPr>
          <w:rFonts w:ascii="Arial" w:cs="Arial" w:eastAsia="Arial" w:hAnsi="Arial"/>
          <w:sz w:val="14"/>
          <w:szCs w:val="14"/>
          <w:color w:val="auto"/>
        </w:rPr>
        <w:t>In September 2023, we entered into a non-cancelable operating lease for office space in Cambridge, Massachusetts. The lease requires us to pay annual base rent of approximately $0.4 million, which is subject to a 2% annual increase over the term of the lease. The lease expires in October 2026 and contains a two-year renewal option.</w:t>
      </w:r>
    </w:p>
    <w:p>
      <w:pPr>
        <w:spacing w:after="0" w:line="131" w:lineRule="exact"/>
        <w:rPr>
          <w:sz w:val="20"/>
          <w:szCs w:val="20"/>
          <w:color w:val="auto"/>
        </w:rPr>
      </w:pPr>
    </w:p>
    <w:p>
      <w:pPr>
        <w:ind w:left="1220" w:right="199" w:firstLine="353"/>
        <w:spacing w:after="0" w:line="263" w:lineRule="auto"/>
        <w:rPr>
          <w:sz w:val="20"/>
          <w:szCs w:val="20"/>
          <w:color w:val="auto"/>
        </w:rPr>
      </w:pPr>
      <w:r>
        <w:rPr>
          <w:rFonts w:ascii="Arial" w:cs="Arial" w:eastAsia="Arial" w:hAnsi="Arial"/>
          <w:sz w:val="14"/>
          <w:szCs w:val="14"/>
          <w:color w:val="auto"/>
        </w:rPr>
        <w:t>In March 2024, we entered into a non-cancelable operating sublease for office and laboratory space in Copenhagen, Denmark. The lease requires us to pay annual base rent of approximately $0.3 million, which is subject to a 3% annual increase over the term of the lease. The lease expires in February 2029 and contains a one-year renewal option.</w:t>
      </w:r>
    </w:p>
    <w:p>
      <w:pPr>
        <w:spacing w:after="0" w:line="131" w:lineRule="exact"/>
        <w:rPr>
          <w:sz w:val="20"/>
          <w:szCs w:val="20"/>
          <w:color w:val="auto"/>
        </w:rPr>
      </w:pPr>
    </w:p>
    <w:p>
      <w:pPr>
        <w:ind w:left="1220" w:right="399" w:firstLine="353"/>
        <w:spacing w:after="0" w:line="263" w:lineRule="auto"/>
        <w:rPr>
          <w:sz w:val="20"/>
          <w:szCs w:val="20"/>
          <w:color w:val="auto"/>
        </w:rPr>
      </w:pPr>
      <w:r>
        <w:rPr>
          <w:rFonts w:ascii="Arial" w:cs="Arial" w:eastAsia="Arial" w:hAnsi="Arial"/>
          <w:sz w:val="14"/>
          <w:szCs w:val="14"/>
          <w:color w:val="auto"/>
        </w:rPr>
        <w:t>For additional information on our future commitments relating to our leasing obligations, see Note 9, “Leases” of the “Notes to Consolidated Financial Statements” in the audited consolidated financial statements for the year ended December 31, 2025 and notes thereto, included in our final prospectus filed pursuant to Rule 424(b)(4) under the Securities Act with the SEC on May 1, 2026.</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i w:val="1"/>
          <w:iCs w:val="1"/>
          <w:color w:val="auto"/>
        </w:rPr>
        <w:t>Purchase and Other Obligations</w:t>
      </w:r>
    </w:p>
    <w:p>
      <w:pPr>
        <w:spacing w:after="0" w:line="86"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We enter into contracts in the normal course of business with CROs, CMOs and other third-parties for preclinical research studies, clinical trials and testing and manufacturing services. These contracts typically do not contain minimum purchase commitments and are cancellable by us upon written notice. Payments due upon cancellation generally consist of payments for services provided or expenses incurred up to the date of cancellation, including non-cancelable obligations of our service providers and, in some cases, wind-down costs. For further information regarding certain of our license agreements and amounts that could become payable in the future under those agreements, please see Note 8 in our condensed consolidated financial statements appearing elsewhere in this Quarterly Report.</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License Agreements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Below is a summary of the key terms for certain of our license agreements.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159"/>
          </w:cols>
          <w:pgMar w:left="300" w:top="41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License Agreement with Novo Nordisk</w:t>
      </w:r>
    </w:p>
    <w:p>
      <w:pPr>
        <w:spacing w:after="0" w:line="86"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In November 2019, we entered into a license agreement with Novo Nordisk A/S, or Novo Nordisk, pursuant to which Novo Nordisk granted us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or Novo Licensed Products, containing bispecific IgG antibodies targeting TLT-1 and Factor VII, including sutacimig, for the treatment of bleeding conditions, including hemophilia. We refer to this agreement as the Novo Nordisk Agreement. Under the terms of the Novo Nordisk Agreement, we have agreed to use commercially reasonable efforts to develop and commercialize a Novo Licensed Product.</w:t>
      </w:r>
    </w:p>
    <w:p>
      <w:pPr>
        <w:spacing w:after="0" w:line="140"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We are obligated to pay to Novo Nordisk a one-time DKK 40 million milestone payment upon achievement by a Novo Licensed Product of a specified regulatory milestone event, and we are also obligated to pay Novo Nordisk tiered royalties, in the low single-digit percentages, on aggregate annual net sales of all Novo Licensed Products, on a Novo Licensed Product-by-Novo Licensed Product and country-by-country basis, until the later of the expiration of the last valid claim in the licensed patents under the Novo Nordisk Agreement covering such Novo Licensed Product in such country and ten years following the first commercial sale of such Novo Licensed Product in such country. We currently expect that all of the licensed patents under the Novo Nordisk Agreement will expire by 2040, potentially extending to 2045 with patent term extension. To date, we have not made any payments to Novo Nordisk under the Novo Nordisk Agreement. Under the Novo Nordisk Agreement, we initially granted to Novo Nordisk a right of first negotiation, following a specified clinical event and during a specified period of time, to obtain a license back from us to exploit Novo Licensed Products if we determined to engage with a third party with respect to a license of any Novo Licensed Products. However, Novo Nordisk’s right of first negotiation under the Novo Nordisk Agreement has expired.</w:t>
      </w:r>
    </w:p>
    <w:p>
      <w:pPr>
        <w:spacing w:after="0" w:line="308" w:lineRule="exact"/>
        <w:rPr>
          <w:sz w:val="20"/>
          <w:szCs w:val="20"/>
          <w:color w:val="auto"/>
        </w:rPr>
      </w:pPr>
    </w:p>
    <w:p>
      <w:pPr>
        <w:ind w:left="1220" w:right="299" w:firstLine="353"/>
        <w:spacing w:after="0" w:line="252" w:lineRule="auto"/>
        <w:rPr>
          <w:sz w:val="20"/>
          <w:szCs w:val="20"/>
          <w:color w:val="auto"/>
        </w:rPr>
      </w:pPr>
      <w:r>
        <w:rPr>
          <w:rFonts w:ascii="Arial" w:cs="Arial" w:eastAsia="Arial" w:hAnsi="Arial"/>
          <w:sz w:val="14"/>
          <w:szCs w:val="14"/>
          <w:color w:val="auto"/>
        </w:rPr>
        <w:t>The Novo Nordisk Agreement will continue in force until it is terminated. On expiration of each royalty term, our license becomes royalty-free, perpetual, and irrevocable with respect to the applicable Novo Licensed Product in the applicable country. Either party may terminate the Novo Nordisk Agreement for the other party’s uncured material breach or insolvency. We may terminate the Novo Nordisk Agreement for any reason upon 90 days’ written notice to Novo Nordisk. In the event that Novo Nordisk regains control of the exclusive right to exploit the Novo Licensed Product, the Novo Nordisk Agreement will automatically terminate.</w:t>
      </w:r>
    </w:p>
    <w:p>
      <w:pPr>
        <w:spacing w:after="0" w:line="228" w:lineRule="exact"/>
        <w:rPr>
          <w:sz w:val="20"/>
          <w:szCs w:val="20"/>
          <w:color w:val="auto"/>
        </w:rPr>
      </w:pPr>
    </w:p>
    <w:p>
      <w:pPr>
        <w:ind w:left="1580"/>
        <w:spacing w:after="0"/>
        <w:rPr>
          <w:sz w:val="20"/>
          <w:szCs w:val="20"/>
          <w:color w:val="auto"/>
        </w:rPr>
      </w:pPr>
      <w:r>
        <w:rPr>
          <w:rFonts w:ascii="Arial" w:cs="Arial" w:eastAsia="Arial" w:hAnsi="Arial"/>
          <w:sz w:val="14"/>
          <w:szCs w:val="14"/>
          <w:b w:val="1"/>
          <w:bCs w:val="1"/>
          <w:i w:val="1"/>
          <w:iCs w:val="1"/>
          <w:color w:val="auto"/>
        </w:rPr>
        <w:t>License Agreement with Genmab</w:t>
      </w:r>
    </w:p>
    <w:p>
      <w:pPr>
        <w:spacing w:after="0" w:line="86" w:lineRule="exact"/>
        <w:rPr>
          <w:sz w:val="20"/>
          <w:szCs w:val="20"/>
          <w:color w:val="auto"/>
        </w:rPr>
      </w:pPr>
    </w:p>
    <w:p>
      <w:pPr>
        <w:ind w:left="1220" w:right="119" w:firstLine="353"/>
        <w:spacing w:after="0"/>
        <w:rPr>
          <w:sz w:val="20"/>
          <w:szCs w:val="20"/>
          <w:color w:val="auto"/>
        </w:rPr>
      </w:pPr>
      <w:r>
        <w:rPr>
          <w:rFonts w:ascii="Arial" w:cs="Arial" w:eastAsia="Arial" w:hAnsi="Arial"/>
          <w:sz w:val="14"/>
          <w:szCs w:val="14"/>
          <w:color w:val="auto"/>
        </w:rPr>
        <w:t>In April 2020, we entered into a license agreement with Genmab A/S, or Genmab, pursuant to which Genmab granted us an exclusive (even as to Genmab and its affiliates), worldwide and sublicensable license under platform technology patent rights and know-how relating to Genmab’s proprietary DuoBody</w:t>
      </w:r>
      <w:r>
        <w:rPr>
          <w:rFonts w:ascii="Arial" w:cs="Arial" w:eastAsia="Arial" w:hAnsi="Arial"/>
          <w:sz w:val="21"/>
          <w:szCs w:val="21"/>
          <w:color w:val="auto"/>
          <w:vertAlign w:val="superscript"/>
        </w:rPr>
        <w:t>®</w:t>
      </w:r>
      <w:r>
        <w:rPr>
          <w:rFonts w:ascii="Arial" w:cs="Arial" w:eastAsia="Arial" w:hAnsi="Arial"/>
          <w:sz w:val="14"/>
          <w:szCs w:val="14"/>
          <w:color w:val="auto"/>
        </w:rPr>
        <w:t xml:space="preserve"> platform to research, develop, make, have made, use, manufacture, import, export and commercialize products, comprising bispecific IgG antibodies targeting TLT-1 and Factor VII, or TLT-1/Factor VII Antibody Products, including sutacimig, for the treatment of bleeding conditions, including hemophilia. Under the terms of the Genmab Agreement, we have agreed to use commercially reasonable efforts to develop, manufacture, obtain regulatory approval for and commercialize TLT-1/Factor VII Antibody Products worldwide.</w:t>
      </w:r>
    </w:p>
    <w:p>
      <w:pPr>
        <w:spacing w:after="0" w:line="263" w:lineRule="exact"/>
        <w:rPr>
          <w:sz w:val="20"/>
          <w:szCs w:val="20"/>
          <w:color w:val="auto"/>
        </w:rPr>
      </w:pPr>
    </w:p>
    <w:p>
      <w:pPr>
        <w:ind w:left="1220" w:right="119" w:firstLine="353"/>
        <w:spacing w:after="0" w:line="244" w:lineRule="auto"/>
        <w:rPr>
          <w:sz w:val="20"/>
          <w:szCs w:val="20"/>
          <w:color w:val="auto"/>
        </w:rPr>
      </w:pPr>
      <w:r>
        <w:rPr>
          <w:rFonts w:ascii="Arial" w:cs="Arial" w:eastAsia="Arial" w:hAnsi="Arial"/>
          <w:sz w:val="14"/>
          <w:szCs w:val="14"/>
          <w:color w:val="auto"/>
        </w:rPr>
        <w:t>Under the Genmab Agreement, we are obligated to pay Genmab a percentage of all net profit (i.e., revenue and other proceeds less specified direct costs we incur to conduct research, development, manufacture and commercialization of TLT-1/Factor VII Antibody Products) we or our affiliates receive with respect to any TLT-1/Factor VII Antibody Products, including (1) net profit from commercial sales of TLT-1/Factor VII Antibody Products and any revenue from third parties, other than Novo Nordisk, in respect of a sublicense or assignment with respect to TLT-1/Factor VII Antibody Products, including assignment fees, sublicensing fees, upfront and milestone fees, royalties and other consideration, whether in kind or cash, and (2) the net profit allocated to TLT-1/Factor VII Antibody Products that we or our affiliates receive if we undergo a change of control (other than an acquisition by Novo Nordisk). The percentage of net profit we owe with respect to each TLT-1/Factor VII Antibody Product is in the low teens from the effective date of the Genmab Agreement until the first commercial sale of such TLT-1/Factor VII Antibody Product. From and after the first commercial sale of a TLT-1/Factor VII Antibody Product, the percentage of net profit we owe with respect to such TLT-1/Factor VII Antibody Product is in the high single digits in all territories in which we commercialize such TLT-1/Factor VII Antibody Product and in the mid-teens in all territories in which a third party, other than Novo Nordisk, commercializes such TLT-1/Factor VII Antibody Product. We are obligated to pay such percentage of net profit on a country-by-country and TLT-1/Factor VII Antibody Product-by-TLT-1/Factor VII Antibody Product basis until the later of the expiration of the last-to-expire of the platform technology patent rights licensed under the Genmab Agreement covering such TLT-1/Factor VII Antibody Product in such country and twelve years following the first commercial sale of such TLT-1/Factor VII Antibody Product in such country, which we refer to as the net profit share term. Following the expiration of the last-to-expire of the platform technology patent rights licensed under the Genmab Agreement covering a given TLT-1/Factor VII Antibody Product in a given country, the percentage of net profit that we are obligated to pay with respect to sales of such TLT-1/Factor VII</w:t>
      </w:r>
    </w:p>
    <w:p>
      <w:pPr>
        <w:spacing w:after="0" w:line="25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159"/>
          </w:cols>
          <w:pgMar w:left="300" w:top="41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99"/>
        <w:spacing w:after="0" w:line="256" w:lineRule="auto"/>
        <w:rPr>
          <w:sz w:val="20"/>
          <w:szCs w:val="20"/>
          <w:color w:val="auto"/>
        </w:rPr>
      </w:pPr>
      <w:r>
        <w:rPr>
          <w:rFonts w:ascii="Arial" w:cs="Arial" w:eastAsia="Arial" w:hAnsi="Arial"/>
          <w:sz w:val="14"/>
          <w:szCs w:val="14"/>
          <w:color w:val="auto"/>
        </w:rPr>
        <w:t>Antibody Product in such country will be reduced by a specified percentage for the remainder of the net profit share term for such TLT-1/Factor VII Antibody Product in such country. We currently expect that all of the platform technology patent rights licensed under the Genmab Agreement will expire by 2032, though this date may be extended if, for example, Genmab files additional patents covering its platform technology. To date, we have not made any payments to Genmab under the Genmab Agreement.</w:t>
      </w:r>
    </w:p>
    <w:p>
      <w:pPr>
        <w:spacing w:after="0" w:line="135" w:lineRule="exact"/>
        <w:rPr>
          <w:sz w:val="20"/>
          <w:szCs w:val="20"/>
          <w:color w:val="auto"/>
        </w:rPr>
      </w:pPr>
    </w:p>
    <w:p>
      <w:pPr>
        <w:jc w:val="both"/>
        <w:ind w:left="1220" w:right="359" w:firstLine="353"/>
        <w:spacing w:after="0" w:line="263" w:lineRule="auto"/>
        <w:rPr>
          <w:sz w:val="20"/>
          <w:szCs w:val="20"/>
          <w:color w:val="auto"/>
        </w:rPr>
      </w:pPr>
      <w:r>
        <w:rPr>
          <w:rFonts w:ascii="Arial" w:cs="Arial" w:eastAsia="Arial" w:hAnsi="Arial"/>
          <w:sz w:val="14"/>
          <w:szCs w:val="14"/>
          <w:color w:val="auto"/>
        </w:rPr>
        <w:t>In the event we seek to sell, license or otherwise dispose of our rights to TLT-1/Factor VII Antibody Products, including through a change of control to any third party other than Novo Nordisk, we are obligated to provide Genmab the right to participate in any bidding process as a bona fide potential acquirer of such rights.</w:t>
      </w:r>
    </w:p>
    <w:p>
      <w:pPr>
        <w:spacing w:after="0" w:line="131"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Unless earlier terminated, the Genmab Agreement will expire, on a TLT-1/Factor VII Antibody Product-by-TLT-1/Factor VII Antibody Product and country-by-country basis, upon the expiration of the last net profit share term for such TLT-1/Factor VII Antibody Product in such country. On expiration of each net profit share term, our license becomes perpetual, fully paid-up and non-exclusive with respect to the applicable TLT-1/Factor VII Antibody Product in the applicable country. Either party may terminate the Genmab Agreement for the other party’s uncured material breach or insolvency or in certain events of force majeure. Genmab may terminate the Genmab Agreement if we or our affiliates or sublicensees challenge any of the platform technology patent rights licensed under the Genmab Agreement. We may terminate the Genmab Agreement for any reason upon 120 days written notice to Genmab. If Novo Nordisk obtains from us the exclusive right to exploit TLT-1/Factor VII Antibody Products, including upon termination of the Novo Nordisk Agreement, then the Genmab Agreement will terminate in all territories in which Novo Nordisk obtains such exclusive rights.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Critical Accounting Estimates</w:t>
      </w:r>
    </w:p>
    <w:p>
      <w:pPr>
        <w:spacing w:after="0" w:line="88"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liabilities, costs and expenses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41" w:lineRule="exact"/>
        <w:rPr>
          <w:sz w:val="20"/>
          <w:szCs w:val="20"/>
          <w:color w:val="auto"/>
        </w:rPr>
      </w:pPr>
    </w:p>
    <w:p>
      <w:pPr>
        <w:ind w:left="1220" w:right="139" w:firstLine="353"/>
        <w:spacing w:after="0" w:line="263" w:lineRule="auto"/>
        <w:rPr>
          <w:sz w:val="20"/>
          <w:szCs w:val="20"/>
          <w:color w:val="auto"/>
        </w:rPr>
      </w:pPr>
      <w:r>
        <w:rPr>
          <w:rFonts w:ascii="Arial" w:cs="Arial" w:eastAsia="Arial" w:hAnsi="Arial"/>
          <w:sz w:val="14"/>
          <w:szCs w:val="14"/>
          <w:color w:val="auto"/>
        </w:rPr>
        <w:t>There have been no significant changes from critical accounting estimates described under “Management’s Discussion and Analysis of Financial Condition and Results of Operations – Critical Accounting Estimates” included in our final prospectus filed pursuant to Rule 424(b)(4) under the Securities Act with the SEC on May 1, 2026.</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Emerging Growth Company and Smaller Reporting Company Status</w:t>
      </w:r>
    </w:p>
    <w:p>
      <w:pPr>
        <w:spacing w:after="0" w:line="88"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We are an “emerging growth company” as defined in the Jumpstart Our Business Startups Act, or the JOBS Act. As a result, we are able to take advantage of certain reduced reporting requirements that are otherwise applicable to public companies, including delaying auditor attestation of internal control over financial reporting, providing only two years of audited financial statements and related management’s discussion and analysis of financial condition and results of operations and reduced executive compensation disclosures.</w:t>
      </w:r>
    </w:p>
    <w:p>
      <w:pPr>
        <w:spacing w:after="0" w:line="135" w:lineRule="exact"/>
        <w:rPr>
          <w:sz w:val="20"/>
          <w:szCs w:val="20"/>
          <w:color w:val="auto"/>
        </w:rPr>
      </w:pPr>
    </w:p>
    <w:p>
      <w:pPr>
        <w:ind w:left="1220" w:right="259" w:firstLine="353"/>
        <w:spacing w:after="0" w:line="258" w:lineRule="auto"/>
        <w:rPr>
          <w:sz w:val="20"/>
          <w:szCs w:val="20"/>
          <w:color w:val="auto"/>
        </w:rPr>
      </w:pPr>
      <w:r>
        <w:rPr>
          <w:rFonts w:ascii="Arial" w:cs="Arial" w:eastAsia="Arial" w:hAnsi="Arial"/>
          <w:sz w:val="14"/>
          <w:szCs w:val="14"/>
          <w:color w:val="auto"/>
        </w:rPr>
        <w:t>We may remain an emerging growth company until December 31, 2031. However, if certain events occurs prior to the end of such period, including if we become a “large accelerated filer” under SEC rules, our annual gross revenue exceeds $ 1.235 billion, or we issue more than $1.0 billion of non-convertible debt in any three-year period, we will cease to be an emerging growth company prior to such date.</w:t>
      </w:r>
    </w:p>
    <w:p>
      <w:pPr>
        <w:spacing w:after="0" w:line="303" w:lineRule="exact"/>
        <w:rPr>
          <w:sz w:val="20"/>
          <w:szCs w:val="20"/>
          <w:color w:val="auto"/>
        </w:rPr>
      </w:pPr>
    </w:p>
    <w:p>
      <w:pPr>
        <w:ind w:left="1220" w:right="239" w:firstLine="353"/>
        <w:spacing w:after="0" w:line="248" w:lineRule="auto"/>
        <w:rPr>
          <w:sz w:val="20"/>
          <w:szCs w:val="20"/>
          <w:color w:val="auto"/>
        </w:rPr>
      </w:pPr>
      <w:r>
        <w:rPr>
          <w:rFonts w:ascii="Arial" w:cs="Arial" w:eastAsia="Arial" w:hAnsi="Arial"/>
          <w:sz w:val="14"/>
          <w:szCs w:val="14"/>
          <w:color w:val="auto"/>
        </w:rPr>
        <w:t>We have elected to take advantage of certain of the reduced disclosure obligations available to emerging growth companies and may elect to take advantage of other reduced reporting requirements in future filings. As a result, the information that we provide to our stockholders may be different than what you might receive from other public reporting companies in which you hold equity interests. In addition, the JOBS Act provides that an “emerging growth company” can take advantage of an extended transition period for complying with new or revised accounting standards. We have elected not to “opt out”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(1) irrevocably elect to “opt out” of such extended transition period or (2) no longer qualify as an emerging growth company.</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159"/>
          </w:cols>
          <w:pgMar w:left="300" w:top="41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We are also a “smaller reporting company” as defined in the Securities Exchange Act of 1934, as amended.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88" w:lineRule="exact"/>
        <w:rPr>
          <w:sz w:val="20"/>
          <w:szCs w:val="20"/>
          <w:color w:val="auto"/>
        </w:rPr>
      </w:pPr>
    </w:p>
    <w:p>
      <w:pPr>
        <w:jc w:val="both"/>
        <w:ind w:left="1220" w:right="699" w:firstLine="353"/>
        <w:spacing w:after="0" w:line="285" w:lineRule="auto"/>
        <w:rPr>
          <w:sz w:val="20"/>
          <w:szCs w:val="20"/>
          <w:color w:val="auto"/>
        </w:rPr>
      </w:pPr>
      <w:r>
        <w:rPr>
          <w:rFonts w:ascii="Arial" w:cs="Arial" w:eastAsia="Arial" w:hAnsi="Arial"/>
          <w:sz w:val="14"/>
          <w:szCs w:val="14"/>
          <w:color w:val="auto"/>
        </w:rPr>
        <w:t>A description of recently issued accounting pronouncements that may potentially impact our financial position and results of operations is disclosed in Note 2 to our condensed consolidated financial statements included elsewhere in this Quarterly Report.</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159"/>
          </w:cols>
          <w:pgMar w:left="300" w:top="415"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Not required.</w:t>
      </w:r>
    </w:p>
    <w:p>
      <w:pPr>
        <w:spacing w:after="0" w:line="261"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4. Controls and Procedures.</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86"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Our management, under the supervision and with the participation of our Chief Executive Officer and Chief Financial Officer (our principal executive officer and principal financial officer, respectively), evaluated the effectiveness of our disclosure controls and procedures as of September 30, 2025. The term “disclosure controls and procedures,” as defined in Rules 13a-15(e) and 15d-15(e) under the Securities Exchange Act of 1934, as amended, or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spacing w:after="0" w:line="146" w:lineRule="exact"/>
        <w:rPr>
          <w:sz w:val="20"/>
          <w:szCs w:val="20"/>
          <w:color w:val="auto"/>
        </w:rPr>
      </w:pPr>
    </w:p>
    <w:p>
      <w:pPr>
        <w:ind w:left="1220" w:right="119" w:firstLine="353"/>
        <w:spacing w:after="0" w:line="251" w:lineRule="auto"/>
        <w:rPr>
          <w:sz w:val="20"/>
          <w:szCs w:val="20"/>
          <w:color w:val="auto"/>
        </w:rPr>
      </w:pPr>
      <w:r>
        <w:rPr>
          <w:rFonts w:ascii="Arial" w:cs="Arial" w:eastAsia="Arial" w:hAnsi="Arial"/>
          <w:sz w:val="14"/>
          <w:szCs w:val="14"/>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not effective at the reasonable assurance level because of the material weaknesses in our internal control over financial reporting described below.</w:t>
      </w:r>
    </w:p>
    <w:p>
      <w:pPr>
        <w:spacing w:after="0" w:line="305"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9" w:lineRule="exact"/>
        <w:rPr>
          <w:sz w:val="20"/>
          <w:szCs w:val="20"/>
          <w:color w:val="auto"/>
        </w:rPr>
      </w:pPr>
    </w:p>
    <w:p>
      <w:pPr>
        <w:jc w:val="both"/>
        <w:ind w:left="1220" w:right="199" w:firstLine="353"/>
        <w:spacing w:after="0" w:line="256" w:lineRule="auto"/>
        <w:rPr>
          <w:sz w:val="20"/>
          <w:szCs w:val="20"/>
          <w:color w:val="auto"/>
        </w:rPr>
      </w:pPr>
      <w:r>
        <w:rPr>
          <w:rFonts w:ascii="Arial" w:cs="Arial" w:eastAsia="Arial" w:hAnsi="Arial"/>
          <w:sz w:val="14"/>
          <w:szCs w:val="14"/>
          <w:color w:val="auto"/>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Remediation Plans</w:t>
      </w:r>
    </w:p>
    <w:p>
      <w:pPr>
        <w:spacing w:after="0" w:line="86"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 See the section titled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Factors</w:t>
      </w:r>
      <w:r>
        <w:rPr>
          <w:rFonts w:ascii="Arial" w:cs="Arial" w:eastAsia="Arial" w:hAnsi="Arial"/>
          <w:sz w:val="14"/>
          <w:szCs w:val="14"/>
          <w:color w:val="auto"/>
        </w:rPr>
        <w:t>—</w:t>
      </w:r>
      <w:r>
        <w:rPr>
          <w:rFonts w:ascii="Arial" w:cs="Arial" w:eastAsia="Arial" w:hAnsi="Arial"/>
          <w:sz w:val="14"/>
          <w:szCs w:val="14"/>
          <w:i w:val="1"/>
          <w:iCs w:val="1"/>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86"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Except as discussed above under “Remediation Plans”, there were no changes in our internal control over financial reporting (as defined in Rules 13a-15(f) and 15d-15(f) under the Exchange Act) that occurred during the three months ended March 31, 2026 that have materially affected, or are reasonably likely to materially affect, our internal control over financial reporting.</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159"/>
          </w:cols>
          <w:pgMar w:left="300" w:top="415"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PART II—OTHER INFORMATION</w:t>
      </w:r>
    </w:p>
    <w:p>
      <w:pPr>
        <w:spacing w:after="0" w:line="17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1. Legal Proceedings.</w:t>
      </w:r>
    </w:p>
    <w:p>
      <w:pPr>
        <w:spacing w:after="0" w:line="88" w:lineRule="exact"/>
        <w:rPr>
          <w:sz w:val="20"/>
          <w:szCs w:val="20"/>
          <w:color w:val="auto"/>
        </w:rPr>
      </w:pPr>
    </w:p>
    <w:p>
      <w:pPr>
        <w:ind w:left="1220" w:right="139" w:firstLine="353"/>
        <w:spacing w:after="0" w:line="285" w:lineRule="auto"/>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currently subject to any material legal proceedings.</w:t>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1A. Risk Factors.</w:t>
      </w:r>
    </w:p>
    <w:p>
      <w:pPr>
        <w:spacing w:after="0" w:line="90"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i w:val="1"/>
          <w:iCs w:val="1"/>
          <w:color w:val="auto"/>
        </w:rPr>
        <w:t>Our business is subject to numerous risks. You should carefully consider the risks and uncertainties described below together with all of the other information contained in this Quarterly Report on Form 10-Q, or this Quarterly Report, including our condensed consolidated financial statements and the related notes thereto in evaluating our company.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Our Financial Position, Need for Additional Capital and Limited Operating History</w:t>
      </w:r>
    </w:p>
    <w:p>
      <w:pPr>
        <w:spacing w:after="0" w:line="90" w:lineRule="exact"/>
        <w:rPr>
          <w:sz w:val="20"/>
          <w:szCs w:val="20"/>
          <w:color w:val="auto"/>
        </w:rPr>
      </w:pPr>
    </w:p>
    <w:p>
      <w:pPr>
        <w:ind w:left="1220" w:right="339"/>
        <w:spacing w:after="0" w:line="268" w:lineRule="auto"/>
        <w:rPr>
          <w:sz w:val="20"/>
          <w:szCs w:val="20"/>
          <w:color w:val="auto"/>
        </w:rPr>
      </w:pPr>
      <w:r>
        <w:rPr>
          <w:rFonts w:ascii="Arial" w:cs="Arial" w:eastAsia="Arial" w:hAnsi="Arial"/>
          <w:sz w:val="14"/>
          <w:szCs w:val="14"/>
          <w:b w:val="1"/>
          <w:bCs w:val="1"/>
          <w:i w:val="1"/>
          <w:iCs w:val="1"/>
          <w:color w:val="auto"/>
        </w:rPr>
        <w:t>We are a clinical-stage biopharmaceutical company, have no products approved for sale and have incurred significant losses since our inception. We expect to incur significant losses for the foreseeable future and may never achieve or maintain profitability.</w:t>
      </w:r>
    </w:p>
    <w:p>
      <w:pPr>
        <w:spacing w:after="0" w:line="32" w:lineRule="exact"/>
        <w:rPr>
          <w:sz w:val="20"/>
          <w:szCs w:val="20"/>
          <w:color w:val="auto"/>
        </w:rPr>
      </w:pPr>
    </w:p>
    <w:p>
      <w:pPr>
        <w:ind w:left="1220" w:right="139" w:firstLine="353"/>
        <w:spacing w:after="0" w:line="245" w:lineRule="auto"/>
        <w:rPr>
          <w:sz w:val="20"/>
          <w:szCs w:val="20"/>
          <w:color w:val="auto"/>
        </w:rPr>
      </w:pPr>
      <w:r>
        <w:rPr>
          <w:rFonts w:ascii="Arial" w:cs="Arial" w:eastAsia="Arial" w:hAnsi="Arial"/>
          <w:sz w:val="14"/>
          <w:szCs w:val="14"/>
          <w:color w:val="auto"/>
        </w:rPr>
        <w:t>We are a clinical-stage biopharmaceutical company with a limited operating history. Since our inception, we have devoted substantially all of our financial resources and efforts to research and development, including clinical trials and preclinical studies of our product candidates, sutacimig and HMB-002, and have incurred significant operating losses. Our net losses were $22.7 million for the three months ended March 31, 2026 and $63.9 million for the year ended December 31, 2025. As of March 31, 2026, we had an accumulated deficit of $204.5 million. We have no approved products, and we have not generated any revenue from product sales. We have financed our operations primarily through private placements of convertible preference shares, issuances of convertible debt and, most recently, from the sale of common stock in our initial public offering, or IPO, in May 2026. We are still continuing to research and develop our product candidates, and we have not yet completed the development of any of our product candidates. We expect to continue to incur significant operating expenses and net losses for the foreseeable future. Our operating expenses and net losses may fluctuate significantly from quarter to quarter and year to year. Accordingly, our stockholders should not rely upon the results of any particular quarterly or annual period as indications of future operating performance.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p>
    <w:p>
      <w:pPr>
        <w:spacing w:after="0" w:line="147"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We anticipate that our expenses will increase substantially, if and as, we:</w:t>
      </w:r>
    </w:p>
    <w:p>
      <w:pPr>
        <w:spacing w:after="0" w:line="99" w:lineRule="exact"/>
        <w:rPr>
          <w:sz w:val="20"/>
          <w:szCs w:val="20"/>
          <w:color w:val="auto"/>
        </w:rPr>
      </w:pPr>
    </w:p>
    <w:p>
      <w:pPr>
        <w:ind w:left="2000" w:right="119" w:hanging="338"/>
        <w:spacing w:after="0" w:line="256" w:lineRule="auto"/>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 to advance the clinical development of our product candidates, including our ongoing Phase 1/2 clinical trial of sutacimig in patients with Glanzmann thrombasthenia, our ongoing Phase 2 clinical trial of sutacimig in patients with Factor VII deficiency, and our ongoing Phase 1/2 clinical trial of HMB-002 in patients with Von Willebrand Disease, as well as any other product candidates that we may develop;</w:t>
      </w:r>
    </w:p>
    <w:p>
      <w:pPr>
        <w:spacing w:after="0" w:line="59" w:lineRule="exact"/>
        <w:rPr>
          <w:rFonts w:ascii="Arial" w:cs="Arial" w:eastAsia="Arial" w:hAnsi="Arial"/>
          <w:sz w:val="14"/>
          <w:szCs w:val="14"/>
          <w:color w:val="auto"/>
        </w:rPr>
      </w:pPr>
    </w:p>
    <w:p>
      <w:pPr>
        <w:ind w:left="2000" w:right="479" w:hanging="338"/>
        <w:spacing w:after="0" w:line="263" w:lineRule="auto"/>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advance our clinical-stage product candidates into later-stage clinical trials, including our planned Phase 3 clinical trial of sutacimig in patients with Glanzmann thrombasthenia, which will be required in order to seek marketing approval of our product candidates, and which we expect will be substantially more expensive than our earlier-stage clinical trials;</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 to advance our research and preclinical activities and seek to discover and develop additional product candidates;</w:t>
      </w:r>
    </w:p>
    <w:p>
      <w:pPr>
        <w:spacing w:after="0" w:line="98" w:lineRule="exact"/>
        <w:rPr>
          <w:rFonts w:ascii="Arial" w:cs="Arial" w:eastAsia="Arial" w:hAnsi="Arial"/>
          <w:sz w:val="14"/>
          <w:szCs w:val="14"/>
          <w:color w:val="auto"/>
        </w:rPr>
      </w:pPr>
    </w:p>
    <w:p>
      <w:pPr>
        <w:ind w:left="2000" w:right="119" w:hanging="338"/>
        <w:spacing w:after="0" w:line="263" w:lineRule="auto"/>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 and scale-up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seek regulatory and marketing approvals for any of our product candidates that successfully complete clinical trials;</w:t>
      </w:r>
    </w:p>
    <w:p>
      <w:pPr>
        <w:spacing w:after="0" w:line="98"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ultimately establish a sales, marketing, medical affairs and distribution infrastructure to commercialize any products for which we may obtain marketing approval;</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acquire or in-license products, product candidates or technologies;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establish or maintain collaborations;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maintain, expand, enforce, defend and protect our intellectual property;</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159"/>
          </w:cols>
          <w:pgMar w:left="300" w:top="415"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hanging="338"/>
        <w:spacing w:after="0"/>
        <w:tabs>
          <w:tab w:leader="none" w:pos="2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hire additional clinical, medical, regulatory, quality control, manufacturing and other scientific and technical personnel;</w:t>
      </w:r>
    </w:p>
    <w:p>
      <w:pPr>
        <w:spacing w:after="0" w:line="98" w:lineRule="exact"/>
        <w:rPr>
          <w:rFonts w:ascii="Arial" w:cs="Arial" w:eastAsia="Arial" w:hAnsi="Arial"/>
          <w:sz w:val="14"/>
          <w:szCs w:val="14"/>
          <w:color w:val="auto"/>
        </w:rPr>
      </w:pPr>
    </w:p>
    <w:p>
      <w:pPr>
        <w:ind w:left="2000" w:right="239" w:hanging="338"/>
        <w:spacing w:after="0" w:line="263" w:lineRule="auto"/>
        <w:tabs>
          <w:tab w:leader="none" w:pos="2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add operational, financial, clinical, quality and management information systems and personnel, including personnel to support our product development and planned future commercialization efforts of our product candidates and our operations as a public company;</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incur additional audit, legal, regulatory, tax and other expenses with being a public company; and</w:t>
      </w:r>
    </w:p>
    <w:p>
      <w:pPr>
        <w:spacing w:after="0" w:line="98" w:lineRule="exact"/>
        <w:rPr>
          <w:rFonts w:ascii="Arial" w:cs="Arial" w:eastAsia="Arial" w:hAnsi="Arial"/>
          <w:sz w:val="14"/>
          <w:szCs w:val="14"/>
          <w:color w:val="auto"/>
        </w:rPr>
      </w:pPr>
    </w:p>
    <w:p>
      <w:pPr>
        <w:ind w:left="2000" w:right="199" w:hanging="338"/>
        <w:spacing w:after="0" w:line="263" w:lineRule="auto"/>
        <w:tabs>
          <w:tab w:leader="none" w:pos="20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make any milestone, royalty, or other payments to Novo Nordisk A/S, or Novo Nordisk, under our license agreement with Novo Nordisk, or the Novo Nordisk Agreement, and to Genmab A/S, or Genmab, under our license agreement with Genmab, or the Genmab Agreement, and under any additional future collaboration or license agreements that we may enter into.</w:t>
      </w:r>
    </w:p>
    <w:p>
      <w:pPr>
        <w:spacing w:after="0" w:line="13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In addition, our expenses will further increase if, among other things:</w:t>
      </w:r>
    </w:p>
    <w:p>
      <w:pPr>
        <w:spacing w:after="0" w:line="99" w:lineRule="exact"/>
        <w:rPr>
          <w:sz w:val="20"/>
          <w:szCs w:val="20"/>
          <w:color w:val="auto"/>
        </w:rPr>
      </w:pPr>
    </w:p>
    <w:p>
      <w:pPr>
        <w:ind w:left="2000" w:right="139" w:hanging="338"/>
        <w:spacing w:after="0" w:line="285" w:lineRule="auto"/>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are required by the U.S. Food and Drug Administration, or the FDA, the European Medicines Agency, or the EMA, or other regulatory authorities to perform clinical trials or preclinical studies that are in addition to, or different than, those expected;</w:t>
      </w:r>
    </w:p>
    <w:p>
      <w:pPr>
        <w:spacing w:after="0" w:line="39" w:lineRule="exact"/>
        <w:rPr>
          <w:rFonts w:ascii="Arial" w:cs="Arial" w:eastAsia="Arial" w:hAnsi="Arial"/>
          <w:sz w:val="14"/>
          <w:szCs w:val="14"/>
          <w:color w:val="auto"/>
        </w:rPr>
      </w:pPr>
    </w:p>
    <w:p>
      <w:pPr>
        <w:ind w:left="2000" w:right="119" w:hanging="338"/>
        <w:spacing w:after="0" w:line="262" w:lineRule="auto"/>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are any delays in completing our clinical trials or preclinical studies or the development of any of our product candidates; or</w:t>
      </w:r>
    </w:p>
    <w:p>
      <w:pPr>
        <w:spacing w:after="0" w:line="246"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are any third-party challenges to our intellectual property or we need to defend against any intellectual property-related claim.</w:t>
      </w:r>
    </w:p>
    <w:p>
      <w:pPr>
        <w:spacing w:after="0" w:line="115"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Even if we obtain marketing approval for, and are successful in commercializing, one or more of our product candidates, we expect to incur substantial additional research and development and other expenditures to develop and market additional product candidates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have never generated revenue from product sales and may never achieve or maintain profitability.</w:t>
      </w:r>
    </w:p>
    <w:p>
      <w:pPr>
        <w:spacing w:after="0" w:line="86"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We expect that it will be several years before we have a product candidate ready for commercialization, if ever. To become and remain profitable, we must succeed in developing, obtaining the necessary marketing approvals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and any other product candidates we may identify and pursue, obtaining marketing approval for these product candidates and manufacturing, marketing and selling any products for which we may obtain marketing approval. We may never succeed in these activities and, even if we do, may never generate revenues that are significant enough to achieve profitability. Because of the numerous risks and uncertainties associated with biopharmaceutical product development, we are unable to accurately predict the timing or amount of increased expenses or when, or if, we will be able to generate revenue or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product candidates, achieve our strategic objectives or even continue our operations. A decline in the value of our company could also cause our stockholders to lose all or part of their investment.</w:t>
      </w:r>
    </w:p>
    <w:p>
      <w:pPr>
        <w:spacing w:after="0" w:line="311"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Even if we are able to generate revenue from the sale of any approved products, we may not become profitable and may need to obtain additional funding to continue operations. Our revenue will be dependent, in part, upon the size of the markets in the territories for which we gain marketing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29" w:lineRule="exact"/>
        <w:rPr>
          <w:sz w:val="20"/>
          <w:szCs w:val="20"/>
          <w:color w:val="auto"/>
        </w:rPr>
      </w:pPr>
    </w:p>
    <w:p>
      <w:pPr>
        <w:ind w:left="1220" w:right="519"/>
        <w:spacing w:after="0" w:line="294" w:lineRule="auto"/>
        <w:rPr>
          <w:sz w:val="20"/>
          <w:szCs w:val="20"/>
          <w:color w:val="auto"/>
        </w:rPr>
      </w:pPr>
      <w:r>
        <w:rPr>
          <w:rFonts w:ascii="Arial" w:cs="Arial" w:eastAsia="Arial" w:hAnsi="Arial"/>
          <w:sz w:val="14"/>
          <w:szCs w:val="14"/>
          <w:b w:val="1"/>
          <w:bCs w:val="1"/>
          <w:i w:val="1"/>
          <w:iCs w:val="1"/>
          <w:color w:val="auto"/>
        </w:rPr>
        <w:t>We will need substantial additional funding. If we are unable to raise capital on acceptable terms when needed, or at all, we could be forced to delay, reduce or eliminate our product development programs or commercialization efforts.</w:t>
      </w:r>
    </w:p>
    <w:p>
      <w:pPr>
        <w:spacing w:after="0" w:line="15" w:lineRule="exact"/>
        <w:rPr>
          <w:sz w:val="20"/>
          <w:szCs w:val="20"/>
          <w:color w:val="auto"/>
        </w:rPr>
      </w:pPr>
    </w:p>
    <w:p>
      <w:pPr>
        <w:jc w:val="both"/>
        <w:ind w:left="1220" w:right="119" w:firstLine="353"/>
        <w:spacing w:after="0" w:line="256" w:lineRule="auto"/>
        <w:rPr>
          <w:sz w:val="20"/>
          <w:szCs w:val="20"/>
          <w:color w:val="auto"/>
        </w:rPr>
      </w:pPr>
      <w:r>
        <w:rPr>
          <w:rFonts w:ascii="Arial" w:cs="Arial" w:eastAsia="Arial" w:hAnsi="Arial"/>
          <w:sz w:val="14"/>
          <w:szCs w:val="14"/>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devote substantial financial resources to our ongoing and planned</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0159"/>
          </w:cols>
          <w:pgMar w:left="300" w:top="415"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spacing w:after="0" w:line="247" w:lineRule="auto"/>
        <w:rPr>
          <w:sz w:val="20"/>
          <w:szCs w:val="20"/>
          <w:color w:val="auto"/>
        </w:rPr>
      </w:pPr>
      <w:r>
        <w:rPr>
          <w:rFonts w:ascii="Arial" w:cs="Arial" w:eastAsia="Arial" w:hAnsi="Arial"/>
          <w:sz w:val="14"/>
          <w:szCs w:val="14"/>
          <w:color w:val="auto"/>
        </w:rPr>
        <w:t>activities, particularly as we commence our planned Phase 3 clinical trial of sutacimig in patients with Glanzmann thrombasthenia and continue our ongoing Phase 1/2 clinical trial of sutacimig in patients with Glanzmann thrombasthenia, Phase 2 clinical trial of sutacimig in patients with Factor VII deficiency and Phase 1/2 trial of HMB-002 in patients with Von Willebrand Disease, continue research and development and initiate additional clinical trials of, and seek marketing approval for, these and other product candidates. We expect our expenses to increase substantially in connection with our ongoing and planned activities, particularly as we advance our preclinical activities and clinical trials of and potentially seek marketing approval for our product candidates and other product candidates we may identify, and if and as we expand our research and development and scale-up and manufacture our product candidates for our current and future indications. We will be required to incur substantial costs and may experience delays in completing, or ultimately be unable to complete, the development and commercialization of any product candidates.</w:t>
      </w:r>
    </w:p>
    <w:p>
      <w:pPr>
        <w:spacing w:after="0" w:line="143" w:lineRule="exact"/>
        <w:rPr>
          <w:sz w:val="20"/>
          <w:szCs w:val="20"/>
          <w:color w:val="auto"/>
        </w:rPr>
      </w:pPr>
    </w:p>
    <w:p>
      <w:pPr>
        <w:ind w:left="1220" w:right="99" w:firstLine="353"/>
        <w:spacing w:after="0" w:line="256" w:lineRule="auto"/>
        <w:rPr>
          <w:sz w:val="20"/>
          <w:szCs w:val="20"/>
          <w:color w:val="auto"/>
        </w:rPr>
      </w:pPr>
      <w:r>
        <w:rPr>
          <w:rFonts w:ascii="Arial" w:cs="Arial" w:eastAsia="Arial" w:hAnsi="Arial"/>
          <w:sz w:val="14"/>
          <w:szCs w:val="14"/>
          <w:color w:val="auto"/>
        </w:rPr>
        <w:t>In addition, if we obtain marketing approval for our product candidates and any other product candidates we may identify and pursue, we expect to incur significant commercialization expenses related to product manufacturing, sales, marketing and distribution. Furthermore, we expect to incur additional costs associated with operating as a public company. Accordingly, we will need to obtain substantial additional funding to support our continuing operations and pursue our growth strategy.</w:t>
      </w:r>
    </w:p>
    <w:p>
      <w:pPr>
        <w:spacing w:after="0" w:line="135" w:lineRule="exact"/>
        <w:rPr>
          <w:sz w:val="20"/>
          <w:szCs w:val="20"/>
          <w:color w:val="auto"/>
        </w:rPr>
      </w:pPr>
    </w:p>
    <w:p>
      <w:pPr>
        <w:ind w:left="1220" w:right="299" w:firstLine="353"/>
        <w:spacing w:after="0" w:line="252" w:lineRule="auto"/>
        <w:rPr>
          <w:sz w:val="20"/>
          <w:szCs w:val="20"/>
          <w:color w:val="auto"/>
        </w:rPr>
      </w:pPr>
      <w:r>
        <w:rPr>
          <w:rFonts w:ascii="Arial" w:cs="Arial" w:eastAsia="Arial" w:hAnsi="Arial"/>
          <w:sz w:val="14"/>
          <w:szCs w:val="14"/>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any product candidates, if approved, may not achieve commercial success. We will not generate commercial revenues, if any, unless and until we, alone or with partners, can achieve sales of products, which we do not anticipate will occur for many years, if at all.</w:t>
      </w:r>
    </w:p>
    <w:p>
      <w:pPr>
        <w:spacing w:after="0" w:line="139"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As of March 31, 2026, we had cash, cash equivalents and marketable securities of $163.5 million. We believe that our cash, cash equivalents and marketable securities as of March 31, 2026, together with net proceeds from the IPO of approximately $ 317.2 million, will enable us to fund our operating expenses and capital expenditure requirements into 2029. However, we have based this estimate on assumptions that may prove to be wrong, and our operating plan may change as a result of many factors currently unknown to us. As a result, we could deplete our capital resources sooner than we currently expect and could be forced to seek additional funding sooner than planned. We would be required to obtain substantial additional funding in order to initiate and conduct registrational and other clinical trials for our product candidates.</w:t>
      </w:r>
    </w:p>
    <w:p>
      <w:pPr>
        <w:spacing w:after="0" w:line="140"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We currently do not have a credit facility or any committed sources of capital. If we are unable to raise capital or obtain adequate funds when needed or on acceptable terms, we may be forced to delay, limit, reduce or terminate our research and development programs or any future commercialization efforts or grant rights to develop and market product candidates that we would otherwise prefer to develop and market ourselves.</w:t>
      </w:r>
    </w:p>
    <w:p>
      <w:pPr>
        <w:spacing w:after="0" w:line="135"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Our future capital requirements will depend on many factors, including:</w:t>
      </w:r>
    </w:p>
    <w:p>
      <w:pPr>
        <w:spacing w:after="0" w:line="99" w:lineRule="exact"/>
        <w:rPr>
          <w:sz w:val="20"/>
          <w:szCs w:val="20"/>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scope, progress, costs and results of our current and future preclinical studies and clinical trials for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number of clinical trials required for regulatory approval of our current or future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whether we partner our programs with collaborators for later-stage clinical development or commercialization;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number and development requirements of any other product candidates we may identify and develop;</w:t>
      </w:r>
    </w:p>
    <w:p>
      <w:pPr>
        <w:spacing w:after="0" w:line="98" w:lineRule="exact"/>
        <w:rPr>
          <w:rFonts w:ascii="Arial" w:cs="Arial" w:eastAsia="Arial" w:hAnsi="Arial"/>
          <w:sz w:val="14"/>
          <w:szCs w:val="14"/>
          <w:color w:val="auto"/>
        </w:rPr>
      </w:pPr>
    </w:p>
    <w:p>
      <w:pPr>
        <w:ind w:left="2000" w:right="559" w:hanging="338"/>
        <w:spacing w:after="0" w:line="285" w:lineRule="auto"/>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product candidates and any other product candidates we may identify and develop;</w:t>
      </w:r>
    </w:p>
    <w:p>
      <w:pPr>
        <w:spacing w:after="0" w:line="39"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costs of obtaining clinical and commercial supplies of our product candidates and any other product candidates we may identify and develop;</w:t>
      </w:r>
    </w:p>
    <w:p>
      <w:pPr>
        <w:spacing w:after="0" w:line="39" w:lineRule="exact"/>
        <w:rPr>
          <w:rFonts w:ascii="Arial" w:cs="Arial" w:eastAsia="Arial" w:hAnsi="Arial"/>
          <w:sz w:val="14"/>
          <w:szCs w:val="14"/>
          <w:color w:val="auto"/>
        </w:rPr>
      </w:pPr>
    </w:p>
    <w:p>
      <w:pPr>
        <w:ind w:left="2000" w:right="599" w:hanging="338"/>
        <w:spacing w:after="0" w:line="285" w:lineRule="auto"/>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successfully commercialize our product candidates and any other product candidates we may identify and develop;</w:t>
      </w:r>
    </w:p>
    <w:p>
      <w:pPr>
        <w:spacing w:after="0" w:line="39"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manufacturing, selling and marketing costs associated with our product candidates and any other product candidates we may identify and develop, including the cost and timing of establishing sales and marketing capabilities;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scope, progress, costs and results of any post-marketing studies that could be required by regulatory authorities;</w:t>
      </w:r>
    </w:p>
    <w:p>
      <w:pPr>
        <w:spacing w:after="0" w:line="98"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and timing of sales and other revenues from our product candidates and any other product candidates we may identify and develop, including the sales price and the availability of coverage and adequate third-party reimbursement;</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time and cost necessary to respond to technological and market developments;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extent to which we may acquire or in-license other product candidates and technologies;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0159"/>
          </w:cols>
          <w:pgMar w:left="300" w:top="415"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279" w:hanging="338"/>
        <w:spacing w:after="0" w:line="285" w:lineRule="auto"/>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establish and maintain strategic collaborations, licensing or other arrangements and the financial terms of such arrangements;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milestone payments and other collaboration-based payments, if any;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w:t>
      </w:r>
    </w:p>
    <w:p>
      <w:pPr>
        <w:spacing w:after="0" w:line="98" w:lineRule="exact"/>
        <w:rPr>
          <w:rFonts w:ascii="Arial" w:cs="Arial" w:eastAsia="Arial" w:hAnsi="Arial"/>
          <w:sz w:val="14"/>
          <w:szCs w:val="14"/>
          <w:color w:val="auto"/>
        </w:rPr>
      </w:pPr>
    </w:p>
    <w:p>
      <w:pPr>
        <w:ind w:left="2000" w:right="199" w:hanging="338"/>
        <w:spacing w:after="0" w:line="285" w:lineRule="auto"/>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establish a commercially viable pricing structure and obtain approval for coverage and adequate reimbursement from third-party and government payors;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effect of macroeconomic trends including inflation, foreign exchange rate, interest rates and tariffs; and</w:t>
      </w:r>
    </w:p>
    <w:p>
      <w:pPr>
        <w:spacing w:after="0" w:line="98" w:lineRule="exact"/>
        <w:rPr>
          <w:rFonts w:ascii="Arial" w:cs="Arial" w:eastAsia="Arial" w:hAnsi="Arial"/>
          <w:sz w:val="14"/>
          <w:szCs w:val="14"/>
          <w:color w:val="auto"/>
        </w:rPr>
      </w:pPr>
    </w:p>
    <w:p>
      <w:pPr>
        <w:ind w:left="2000" w:right="679" w:hanging="338"/>
        <w:spacing w:after="0" w:line="285" w:lineRule="auto"/>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costs and timing of preparing, filing and prosecuting patent applications, maintaining, enforcing and protecting our intellectual property and proprietary rights and defending any intellectual property-related claims.</w:t>
      </w:r>
    </w:p>
    <w:p>
      <w:pPr>
        <w:spacing w:after="0" w:line="115"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Any additional fundraising efforts may divert our management from their day-to-day activities, which may adversely affect our ability to develop and commercialize any product candidates. Additionally, volatility in the financial markets and general economic conditions may be a significant obstacle to raising the required funds. We cannot be certain that adequate additional financing will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or on terms acceptable to us, we may be required to delay, limit, reduce or terminate preclinical studies, clinical trials or other development activities for one or more product candidates or discovery stage programs or delay, limit, reduce or terminate our establishment of sales and marketing capabilities or other activities that may be necessary to commercialize any product candidates.</w:t>
      </w:r>
    </w:p>
    <w:p>
      <w:pPr>
        <w:spacing w:after="0" w:line="229" w:lineRule="exact"/>
        <w:rPr>
          <w:sz w:val="20"/>
          <w:szCs w:val="20"/>
          <w:color w:val="auto"/>
        </w:rPr>
      </w:pPr>
    </w:p>
    <w:p>
      <w:pPr>
        <w:ind w:left="1220" w:right="139"/>
        <w:spacing w:after="0" w:line="294" w:lineRule="auto"/>
        <w:rPr>
          <w:sz w:val="20"/>
          <w:szCs w:val="20"/>
          <w:color w:val="auto"/>
        </w:rPr>
      </w:pPr>
      <w:r>
        <w:rPr>
          <w:rFonts w:ascii="Arial" w:cs="Arial" w:eastAsia="Arial" w:hAnsi="Arial"/>
          <w:sz w:val="14"/>
          <w:szCs w:val="14"/>
          <w:b w:val="1"/>
          <w:bCs w:val="1"/>
          <w:i w:val="1"/>
          <w:iCs w:val="1"/>
          <w:color w:val="auto"/>
        </w:rPr>
        <w:t>Raising additional capital may cause dilution to our stockholders, restrict our operations or require us to relinquish rights to our technologies or product candidates.</w:t>
      </w:r>
    </w:p>
    <w:p>
      <w:pPr>
        <w:spacing w:after="0" w:line="15"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Until such time, if ever, as we can generate substantial product revenues, we expect to finance our cash needs through a combination of equity offerings, debt financings, royalty financings, collaborations, strategic alliances and marketing, distribution or licensing arrangements. We do not have any source of committed capital or external funds. To the extent that we raise additional capital through the sale of equity or convertible debt securities, our stockholders’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w:t>
      </w:r>
    </w:p>
    <w:p>
      <w:pPr>
        <w:spacing w:after="0" w:line="307"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If we raise additional funds through partnerships,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when needed or on terms acceptable to us, we may be required to delay, limit, reduce or terminate our product development or future commercialization efforts or grant rights to develop and market product candidates that we would otherwise prefer to develop and market ourselves.</w:t>
      </w:r>
    </w:p>
    <w:p>
      <w:pPr>
        <w:spacing w:after="0" w:line="228" w:lineRule="exact"/>
        <w:rPr>
          <w:sz w:val="20"/>
          <w:szCs w:val="20"/>
          <w:color w:val="auto"/>
        </w:rPr>
      </w:pPr>
    </w:p>
    <w:p>
      <w:pPr>
        <w:ind w:left="1220" w:right="519"/>
        <w:spacing w:after="0" w:line="294" w:lineRule="auto"/>
        <w:rPr>
          <w:sz w:val="20"/>
          <w:szCs w:val="20"/>
          <w:color w:val="auto"/>
        </w:rPr>
      </w:pPr>
      <w:r>
        <w:rPr>
          <w:rFonts w:ascii="Arial" w:cs="Arial" w:eastAsia="Arial" w:hAnsi="Arial"/>
          <w:sz w:val="14"/>
          <w:szCs w:val="14"/>
          <w:b w:val="1"/>
          <w:bCs w:val="1"/>
          <w:i w:val="1"/>
          <w:iCs w:val="1"/>
          <w:color w:val="auto"/>
        </w:rPr>
        <w:t>Our limited operating history may make it difficult to evaluate the success of our business to date and to assess our future viability.</w:t>
      </w:r>
    </w:p>
    <w:p>
      <w:pPr>
        <w:spacing w:after="0" w:line="15"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We commenced operations in 2020 and are a clinical-stage biotechnology company. Our operations to date have been limited to organizing and staffing our company, business planning, raising capital, securing intellectual property rights, in-licensing technology, discovering product candidates, undertaking preclinical studies and conducting clinical trials. While we are in the process of conducting Phase 1/2 and Phase 2 trials, we have not yet initiated or completed a Phase 3 clinical trial of any product candidate. We have not yet demonstrated our ability to successfully develop any product candidate, obtain marketing approvals, manufacture a commercial-scale product or arrange for a third party to do so on our behalf, or conduct sales and marketing activities necessary for successful product commercialization. Therefore, we cannot be certain that our ongoing preclinical studies and clinical trials will be completed on time or that our planned preclinical studies and clinical trials will begin or be completed on time, if at all. Further, biopharmaceutical product development is a highly speculative undertaking and involves a substantial degree of risk. Our stockholders should consider our prospects in light of the costs, uncertainties, delays, and difficulties frequently encountered by companies in clinical development, especially clinical-stage biopharmaceutical companies such as ours. Any predictions our stockholders make about our future success or viability may not be as accurate as they could be if we had a longer operating history or a history of successfully developing and commercializing products.</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0159"/>
          </w:cols>
          <w:pgMar w:left="300" w:top="415"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39" w:firstLine="353"/>
        <w:spacing w:after="0" w:line="263" w:lineRule="auto"/>
        <w:rPr>
          <w:sz w:val="20"/>
          <w:szCs w:val="20"/>
          <w:color w:val="auto"/>
        </w:rPr>
      </w:pPr>
      <w:r>
        <w:rPr>
          <w:rFonts w:ascii="Arial" w:cs="Arial" w:eastAsia="Arial" w:hAnsi="Arial"/>
          <w:sz w:val="14"/>
          <w:szCs w:val="14"/>
          <w:color w:val="auto"/>
        </w:rPr>
        <w:t>In addition, as our business grows, we may encounter unforeseen expenses, difficulties, restrictions,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31"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We expect our financial condition and operating results to fluctuate significantly from quarter to quarter and year to year due to a variety of factors, many of which are beyond our control. Accordingly, our stockholders should not rely upon the results of any quarterly or annual periods as indications of future operating performance.</w:t>
      </w:r>
    </w:p>
    <w:p>
      <w:pPr>
        <w:spacing w:after="0" w:line="219" w:lineRule="exact"/>
        <w:rPr>
          <w:sz w:val="20"/>
          <w:szCs w:val="20"/>
          <w:color w:val="auto"/>
        </w:rPr>
      </w:pPr>
    </w:p>
    <w:p>
      <w:pPr>
        <w:ind w:left="1220" w:right="159"/>
        <w:spacing w:after="0" w:line="294" w:lineRule="auto"/>
        <w:rPr>
          <w:sz w:val="20"/>
          <w:szCs w:val="20"/>
          <w:color w:val="auto"/>
        </w:rPr>
      </w:pPr>
      <w:r>
        <w:rPr>
          <w:rFonts w:ascii="Arial" w:cs="Arial" w:eastAsia="Arial" w:hAnsi="Arial"/>
          <w:sz w:val="14"/>
          <w:szCs w:val="14"/>
          <w:b w:val="1"/>
          <w:bCs w:val="1"/>
          <w:i w:val="1"/>
          <w:iCs w:val="1"/>
          <w:color w:val="auto"/>
        </w:rPr>
        <w:t>Our future ability to use our net operating losses and research and development tax credit carryforwards to offset future taxable income may be subject to certain limitations.</w:t>
      </w:r>
    </w:p>
    <w:p>
      <w:pPr>
        <w:spacing w:after="0" w:line="15"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As of December 31, 2025, we had $170.9 million of net operating losses, or NOLs. Our anticipated activities are also expected to result in future significant NOLs in Denmark and the United States resulting in additional deferred tax assets. Utilization of most deferred tax assets is dependent on generating sufficient future taxable income in the appropriate jurisdiction and/or entity. We have recorded a full valuation allowance on our net deferred tax assets as of December 31, 2025, based on all available evidence, it is considered more likely than not that all the recorded deferred tax assets will not be realized in a future period. Additionally, most of our deferred tax assets are determined by reference to applicable corporate income tax rates in Denmark. Accordingly, in the event of a reduction of any such corporate income tax rates, the carrying value of certain of our deferred tax assets would decrease.</w:t>
      </w:r>
    </w:p>
    <w:p>
      <w:pPr>
        <w:spacing w:after="0" w:line="140"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Moreover, our ability to use our NOLs and other deferred tax assets to offset future taxable income in Denmark and the United States may be limited if we experience an ownership change. For Danish income tax purposes, an ownership change will generally occur when one, or several shareholders together, at once or successively, acquire shares representing more than 50% of the share capital or voting power. Although such an ownership change entails no reduction of the amount of NOLs to be carried forward, the utilization is restricted to exclude offsetting against positive net capital income (e.g. income from interest, dividend and royalty) on NOLs incurred in a previous income year, where the ownership has changed by more than by 50% (under section 12D of the Danish Corporate Tax Act). In the United States, in general, under Section 382 of the Internal Revenue Code of 1986, as amended, and corresponding provisions of state law, a corporation that undergoes an “ownership change,” generally defined as a greater than 50 percentage point change (by value) in its equity ownership by certain stockholders over a three-year period,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through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w:t>
      </w:r>
    </w:p>
    <w:p>
      <w:pPr>
        <w:spacing w:after="0" w:line="145"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There is also a risk that due to regulatory changes, such as suspensions on the use of NOLs, or other unforeseen reasons, our existing NOLs could expire or otherwise become unavailable to offset future income tax liabilities. Additionally, in the United States, state NOLs generated in one state cannot be used to offset income generated in another state. For these reasons, even if we attain profitability, we may be unable to use a material portion of our NOLs and other tax attributes.</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The tax authorities in the jurisdictions in which we operate may challenge our transfer pricing procedures.</w:t>
      </w:r>
    </w:p>
    <w:p>
      <w:pPr>
        <w:spacing w:after="0" w:line="86"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We are a multinational business that has operations in Denmark and other tax jurisdictions, and the tax laws of those jurisdictions generally require that royalty and other payments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jurisdictions were to successfully challenge our transfer prices as not reflecting arm’s length transactions, they could require us to adjust our transfer prices and thereby reallocate our income or deductions to reflect these revised transfer prices, which could result in a higher overall tax liability to us and possibly interest and penalties.</w:t>
      </w:r>
    </w:p>
    <w:p>
      <w:pPr>
        <w:spacing w:after="0" w:line="140"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Additionally, tax authorities in the jurisdictions in which we operate may challenge our treatment of our corporate reorganization. No assets (either physical or intangible) were transferred from Denmark to the United States pursuant to our corporate reorganization, nor were any existing business functions or units operating from Denmark transferred from Hemab ApS to Hemab Therapeutics Holdings, Inc. as part of our corporate reorganization to form part of our U.S. operations. Accordingly, we have not treated and do not intend to treat our corporate reorganization as a deemed sale of all or part of our business by Hemab ApS to Hemab Therapeutics Holdings, Inc. If Danish tax authorities were to disagree with our position and treat our corporate reorganization or any of our activities thereafter as a deemed sale, in whole or in part, of intellectual property rights and/or other assets owned by Hemab ApS to Hemab Therapeutics Holdings, Inc., we could be subject to a Danish tax, the current rate of which is 22%, on the gain realized calculated as the difference between the fair market value and the tax value of the assets, at the time of the deemed sale of the assets from Denmark as determined by the Danish tax authorities.</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159"/>
          </w:cols>
          <w:pgMar w:left="300" w:top="41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Finally, the nature of our operations can produce conflicting claims from tax authorities in different countries as to the profits to be taxed in the individual countries. The jurisdictions in which we operate have double tax treaties with other jurisdictions, which provide a framework for mitigating the impact of double taxation on our revenues and capital gains. However, mechanisms developed to resolve such conflicting claims are largely untested, can be expected to be very lengthy, and do not always contain a mandatory dispute resolution clause. In recent years, tax authorities around the world have increased their scrutiny of company tax filings and have become more rigid in exercising any discretion they may have.</w:t>
      </w:r>
    </w:p>
    <w:p>
      <w:pPr>
        <w:spacing w:after="0" w:line="141" w:lineRule="exact"/>
        <w:rPr>
          <w:sz w:val="20"/>
          <w:szCs w:val="20"/>
          <w:color w:val="auto"/>
        </w:rPr>
      </w:pPr>
    </w:p>
    <w:p>
      <w:pPr>
        <w:ind w:left="1220" w:right="99" w:firstLine="353"/>
        <w:spacing w:after="0" w:line="263" w:lineRule="auto"/>
        <w:rPr>
          <w:sz w:val="20"/>
          <w:szCs w:val="20"/>
          <w:color w:val="auto"/>
        </w:rPr>
      </w:pPr>
      <w:r>
        <w:rPr>
          <w:rFonts w:ascii="Arial" w:cs="Arial" w:eastAsia="Arial" w:hAnsi="Arial"/>
          <w:sz w:val="14"/>
          <w:szCs w:val="14"/>
          <w:color w:val="auto"/>
        </w:rPr>
        <w:t>In general, tax reform efforts, including with respect to transfer pricing, will require us to continually assess our organizational structure and could lead to an increased risk of international tax disputes, an increase in our effective tax rate and an adverse effect on our financial condition.</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the Discovery, Development and Commercialization of Our Product Candidates</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are heavily dependent on the success of sutacimig and HMB-002, which are our only clinical-stage product candidates.</w:t>
      </w:r>
    </w:p>
    <w:p>
      <w:pPr>
        <w:spacing w:after="0" w:line="86" w:lineRule="exact"/>
        <w:rPr>
          <w:sz w:val="20"/>
          <w:szCs w:val="20"/>
          <w:color w:val="auto"/>
        </w:rPr>
      </w:pPr>
    </w:p>
    <w:p>
      <w:pPr>
        <w:ind w:left="1220" w:right="299" w:firstLine="353"/>
        <w:spacing w:after="0" w:line="248" w:lineRule="auto"/>
        <w:rPr>
          <w:sz w:val="20"/>
          <w:szCs w:val="20"/>
          <w:color w:val="auto"/>
        </w:rPr>
      </w:pPr>
      <w:r>
        <w:rPr>
          <w:rFonts w:ascii="Arial" w:cs="Arial" w:eastAsia="Arial" w:hAnsi="Arial"/>
          <w:sz w:val="14"/>
          <w:szCs w:val="14"/>
          <w:color w:val="auto"/>
        </w:rPr>
        <w:t>We currently have no products that are approved for commercial sale and may never be able to develop marketable products. We expect that a substantial portion of our efforts and expenditures over the next several years will be devoted to sutacimig and HMB-002, which are currently our only clinical-stage product candidates. Accordingly, our business currently depends heavily on the successful development, marketing approval and commercialization of these product candidates. We cannot be certain that sutacimig or HMB-002 will receive marketing approval, be approved for the indications that we may seek or be successfully commercialized even if we receive marketing approvals. If we were required to discontinue development of sutacimig or HMB-002, or if any of these product candidates do not receive marketing approvals or fail to achieve significant market acceptance, we would be delayed by many years in our ability to achieve profitability, if ever, and may not be able to generate sufficient revenue to continue our business.</w:t>
      </w:r>
    </w:p>
    <w:p>
      <w:pPr>
        <w:spacing w:after="0" w:line="229" w:lineRule="exact"/>
        <w:rPr>
          <w:sz w:val="20"/>
          <w:szCs w:val="20"/>
          <w:color w:val="auto"/>
        </w:rPr>
      </w:pPr>
    </w:p>
    <w:p>
      <w:pPr>
        <w:ind w:left="1220" w:right="179"/>
        <w:spacing w:after="0" w:line="294" w:lineRule="auto"/>
        <w:rPr>
          <w:sz w:val="20"/>
          <w:szCs w:val="20"/>
          <w:color w:val="auto"/>
        </w:rPr>
      </w:pPr>
      <w:r>
        <w:rPr>
          <w:rFonts w:ascii="Arial" w:cs="Arial" w:eastAsia="Arial" w:hAnsi="Arial"/>
          <w:sz w:val="14"/>
          <w:szCs w:val="14"/>
          <w:b w:val="1"/>
          <w:bCs w:val="1"/>
          <w:i w:val="1"/>
          <w:iCs w:val="1"/>
          <w:color w:val="auto"/>
        </w:rPr>
        <w:t>If we are unable to successfully complete clinical development, obtain marketing approval for, and ultimately commercialize our product candidates, or experience significant delays in doing so, our business will be materially harmed.</w:t>
      </w:r>
    </w:p>
    <w:p>
      <w:pPr>
        <w:spacing w:after="0" w:line="15" w:lineRule="exact"/>
        <w:rPr>
          <w:sz w:val="20"/>
          <w:szCs w:val="20"/>
          <w:color w:val="auto"/>
        </w:rPr>
      </w:pPr>
    </w:p>
    <w:p>
      <w:pPr>
        <w:ind w:left="1220" w:right="259" w:firstLine="353"/>
        <w:spacing w:after="0" w:line="250" w:lineRule="auto"/>
        <w:rPr>
          <w:sz w:val="20"/>
          <w:szCs w:val="20"/>
          <w:color w:val="auto"/>
        </w:rPr>
      </w:pPr>
      <w:r>
        <w:rPr>
          <w:rFonts w:ascii="Arial" w:cs="Arial" w:eastAsia="Arial" w:hAnsi="Arial"/>
          <w:sz w:val="14"/>
          <w:szCs w:val="14"/>
          <w:color w:val="auto"/>
        </w:rPr>
        <w:t>To date, we have invested a majority of our efforts and financial resources in the preclinical and clinical development of our product candidates, including our ongoing Phase 1/2 clinical trial of sutacimig in patients Glanzmann thrombasthenia, Phase 2 clinical trial of sutacimig in patients with Factor VII deficiency and our ongoing Phase 1/2 clinical trial of HMB-002 in patients with Von Willebrand Disease. We have not yet initiated a Phase 3 trial of any product candidate. Our future success is heavily dependent on our ability to successfully develop, obtain marketing approval for and ultimately commercialize our product candidates. We cannot be certain that our product candidates will be successful in clinical trials or receive marketing approval.</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The success of our product candidates will depend on several factors, including the following:</w:t>
      </w:r>
    </w:p>
    <w:p>
      <w:pPr>
        <w:spacing w:after="0" w:line="99" w:lineRule="exact"/>
        <w:rPr>
          <w:sz w:val="20"/>
          <w:szCs w:val="20"/>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successfully completing clinical trials;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acceptance by the FDA or other regulatory agencies of regulatory filings for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expanding and maintaining a workforce of experienced scientists and others to continue to develop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obtaining and maintaining intellectual property protection and regulatory exclusivity for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making arrangements with third-party manufacturers for, or establishing, commercial manufacturing capabilities;</w:t>
      </w:r>
    </w:p>
    <w:p>
      <w:pPr>
        <w:spacing w:after="0" w:line="98"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establishing sales, marketing and distribution capabilities and successfully launching commercial sales, if and when approved, whether alone or in collaboration with others;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acceptance of the products, if and when approved, by patients, the medical community and third-party payors;</w:t>
      </w:r>
    </w:p>
    <w:p>
      <w:pPr>
        <w:spacing w:after="0" w:line="98" w:lineRule="exact"/>
        <w:rPr>
          <w:rFonts w:ascii="Arial" w:cs="Arial" w:eastAsia="Arial" w:hAnsi="Arial"/>
          <w:sz w:val="14"/>
          <w:szCs w:val="14"/>
          <w:color w:val="auto"/>
        </w:rPr>
      </w:pPr>
    </w:p>
    <w:p>
      <w:pPr>
        <w:ind w:left="2000" w:right="719" w:hanging="338"/>
        <w:spacing w:after="0" w:line="285" w:lineRule="auto"/>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further chemistry, manufacturing and controls, manufacturing or development and optimization of the formulation and presentation of our product candidates;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effectively competing or successfully being administered with other approved therapies;</w:t>
      </w:r>
    </w:p>
    <w:p>
      <w:pPr>
        <w:spacing w:after="0" w:line="98" w:lineRule="exact"/>
        <w:rPr>
          <w:rFonts w:ascii="Arial" w:cs="Arial" w:eastAsia="Arial" w:hAnsi="Arial"/>
          <w:sz w:val="14"/>
          <w:szCs w:val="14"/>
          <w:color w:val="auto"/>
        </w:rPr>
      </w:pPr>
    </w:p>
    <w:p>
      <w:pPr>
        <w:ind w:left="2000" w:right="659" w:hanging="338"/>
        <w:spacing w:after="0" w:line="285" w:lineRule="auto"/>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obtaining and maintaining coverage, adequate pricing and adequate reimbursement from third-party payors, including government payors;</w:t>
      </w:r>
    </w:p>
    <w:p>
      <w:pPr>
        <w:spacing w:after="0" w:line="39" w:lineRule="exact"/>
        <w:rPr>
          <w:rFonts w:ascii="Arial" w:cs="Arial" w:eastAsia="Arial" w:hAnsi="Arial"/>
          <w:sz w:val="14"/>
          <w:szCs w:val="14"/>
          <w:color w:val="auto"/>
        </w:rPr>
      </w:pPr>
    </w:p>
    <w:p>
      <w:pPr>
        <w:ind w:left="2000" w:right="339" w:hanging="338"/>
        <w:spacing w:after="0" w:line="285" w:lineRule="auto"/>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patients’ willingness to pay out of pocket for our products in the absence of coverage and/or adequate reimbursement from third-party payors;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maintaining, enforcing, defending and protecting our rights in our intellectual property portfolio;</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159"/>
          </w:cols>
          <w:pgMar w:left="300" w:top="415"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hanging="338"/>
        <w:spacing w:after="0"/>
        <w:tabs>
          <w:tab w:leader="none" w:pos="2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 infringing, misappropriating or otherwise violating others’ intellectual property or proprietary rights;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maintaining a continued acceptable safety and tolerability profile following receipt of any marketing approvals.</w:t>
      </w:r>
    </w:p>
    <w:p>
      <w:pPr>
        <w:spacing w:after="0" w:line="174"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Although we are planning to conduct a multinational, multicenter, Phase 3, single-arm, open-label clinical trial evaluating sutacimig as a prophylactic therapy in adults with Glanzmann thrombasthenia, the FDA may determine that a randomized controlled clinical trial is necessary to support filing and approval of our Biologics License Application, or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If the FDA requires us to conduct a randomized controlled Phase 3 clinical trial, we could incur additional costs and delays, to the extent any such trial is more complex, time-consuming and/or expensive to design, initiate and complete. A randomized trial may require a larger number of patients, longer enrollment and follow-up periods, and additional clinical sites, which could delay the timing of any regulatory submission and potential approval. In addition, the use of a control arm may introduce ethical, operational and recruitment challenges, particularly if patients or investigators are reluctant to participate in a study where treatment assignment is randomized. There is also a risk that a randomized trial could fail to meet its primary or secondary endpoints, even if a single-arm study might have demonstrated favorable results, which could materially and adversely affect our ability to obtain regulatory review and approval and commercialize our product candidate.</w:t>
      </w:r>
    </w:p>
    <w:p>
      <w:pPr>
        <w:spacing w:after="0" w:line="147" w:lineRule="exact"/>
        <w:rPr>
          <w:sz w:val="20"/>
          <w:szCs w:val="20"/>
          <w:color w:val="auto"/>
        </w:rPr>
      </w:pPr>
    </w:p>
    <w:p>
      <w:pPr>
        <w:ind w:left="1220" w:right="239" w:firstLine="353"/>
        <w:spacing w:after="0" w:line="250" w:lineRule="auto"/>
        <w:rPr>
          <w:sz w:val="20"/>
          <w:szCs w:val="20"/>
          <w:color w:val="auto"/>
        </w:rPr>
      </w:pPr>
      <w:r>
        <w:rPr>
          <w:rFonts w:ascii="Arial" w:cs="Arial" w:eastAsia="Arial" w:hAnsi="Arial"/>
          <w:sz w:val="14"/>
          <w:szCs w:val="14"/>
          <w:color w:val="auto"/>
        </w:rPr>
        <w:t>Many of these factors are beyond our control, including clinical outcomes, the regulatory review process, potential threats to our intellectual property rights and the manufacturing, marketing and sales efforts of any future collaborators. If we are unable to develop, receive marketing approval for and successfully commercialize our product candidates, or if we experience delays as a result of any of these factors or otherwise, we may need to spend significant additional time and resources to identify other product candidates, advance them through preclinical and clinical development, and apply for marketing approvals, which would adversely affect our business, prospects, financial condition and results of operations.</w:t>
      </w:r>
    </w:p>
    <w:p>
      <w:pPr>
        <w:spacing w:after="0" w:line="229" w:lineRule="exact"/>
        <w:rPr>
          <w:sz w:val="20"/>
          <w:szCs w:val="20"/>
          <w:color w:val="auto"/>
        </w:rPr>
      </w:pPr>
    </w:p>
    <w:p>
      <w:pPr>
        <w:ind w:left="1220" w:right="339"/>
        <w:spacing w:after="0" w:line="268"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We will be required to incur substantial costs and may experience delays in completing, or ultimately be unable to complete, the development and commercialization of any product candidates.</w:t>
      </w:r>
    </w:p>
    <w:p>
      <w:pPr>
        <w:spacing w:after="0" w:line="32"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The risk of failure for our product candidates and any other product candidates we may develop is high. It is impossible to predict when or if our product candidates and any other product candidates we may develop will prove effective or safe in humans or will receive marketing approval. The time required to obtain approval from the FDA, EMA or other comparable foreign regulatory authorities is unpredictable but typically takes many years following the commencement of clinical trials and depends upon numerous factors, including the substantial discretion of regulatory authorities. Before obtaining marketing approval from regulatory authorities for the sale of any product candidate, we must complete preclinical development and then conduct extensive clinical trials to demonstrate the safety and efficacy of such product candidate in humans. We have not yet initiated a pivotal clinical trial for any of our product candidates. Clinical trials may fail to demonstrate that our current or future product candidates are safe for humans and effective for indicated uses. Even if initial clinical trials in any of our product candidates we may develop are successful, these product candidates may fail to show the desired safety and efficacy in later stages of clinical development despite having successfully advanced through preclinical studies and initial clinical trials. There is a high failure rate for drugs proceeding through clinical trials. A number of companies in the pharmaceutical and biotechnology industries have suffered significant setbacks in later-stage clinical trials even after achieving promising results in earlier-stage clinical trials.</w:t>
      </w:r>
    </w:p>
    <w:p>
      <w:pPr>
        <w:spacing w:after="0" w:line="311"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Furthermore, clinical trials for blood disorders present unique challenges:</w:t>
      </w:r>
    </w:p>
    <w:p>
      <w:pPr>
        <w:spacing w:after="0" w:line="99" w:lineRule="exact"/>
        <w:rPr>
          <w:sz w:val="20"/>
          <w:szCs w:val="20"/>
          <w:color w:val="auto"/>
        </w:rPr>
      </w:pPr>
    </w:p>
    <w:p>
      <w:pPr>
        <w:ind w:left="2000" w:right="359" w:hanging="338"/>
        <w:spacing w:after="0" w:line="256" w:lineRule="auto"/>
        <w:tabs>
          <w:tab w:leader="none" w:pos="2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small patient populations in the indications we are pursuing, such as Glanzmann thrombasthenia and Factor VII deficiency (which we estimate to be approximately 10,000 patients in the aggregate in the geographies where we intend to commercialize sutacimig, including the United States, the European Union, Japan, the Gulf Cooperation Council, or GCC, countries and other select regions), may make it challenging to enroll a sufficient number of patients in our clinical trials.</w:t>
      </w:r>
    </w:p>
    <w:p>
      <w:pPr>
        <w:spacing w:after="0" w:line="59" w:lineRule="exact"/>
        <w:rPr>
          <w:rFonts w:ascii="Arial" w:cs="Arial" w:eastAsia="Arial" w:hAnsi="Arial"/>
          <w:sz w:val="14"/>
          <w:szCs w:val="14"/>
          <w:color w:val="auto"/>
        </w:rPr>
      </w:pPr>
    </w:p>
    <w:p>
      <w:pPr>
        <w:ind w:left="2000" w:right="259" w:hanging="338"/>
        <w:spacing w:after="0" w:line="285" w:lineRule="auto"/>
        <w:tabs>
          <w:tab w:leader="none" w:pos="2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variability in bleeding phenotypes and disease severity in these conditions can make it difficult to demonstrate statistical significance in clinical endpoints.</w:t>
      </w:r>
    </w:p>
    <w:p>
      <w:pPr>
        <w:spacing w:after="0" w:line="39"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lack of validated biomarkers and endpoints in blood disorders requires us to develop novel endpoints, which may not be accepted by regulatory authorities.</w:t>
      </w:r>
    </w:p>
    <w:p>
      <w:pPr>
        <w:spacing w:after="0" w:line="39" w:lineRule="exact"/>
        <w:rPr>
          <w:rFonts w:ascii="Arial" w:cs="Arial" w:eastAsia="Arial" w:hAnsi="Arial"/>
          <w:sz w:val="14"/>
          <w:szCs w:val="14"/>
          <w:color w:val="auto"/>
        </w:rPr>
      </w:pPr>
    </w:p>
    <w:p>
      <w:pPr>
        <w:ind w:left="2000" w:right="399" w:hanging="338"/>
        <w:spacing w:after="0" w:line="285" w:lineRule="auto"/>
        <w:tabs>
          <w:tab w:leader="none" w:pos="2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Patients with coagulation disorders may be geographically dispersed, requiring multi-national clinical trials with associated regulatory complexity.</w:t>
      </w:r>
    </w:p>
    <w:p>
      <w:pPr>
        <w:spacing w:after="0" w:line="39" w:lineRule="exact"/>
        <w:rPr>
          <w:rFonts w:ascii="Arial" w:cs="Arial" w:eastAsia="Arial" w:hAnsi="Arial"/>
          <w:sz w:val="14"/>
          <w:szCs w:val="14"/>
          <w:color w:val="auto"/>
        </w:rPr>
      </w:pPr>
    </w:p>
    <w:p>
      <w:pPr>
        <w:ind w:left="2000" w:right="119" w:hanging="338"/>
        <w:spacing w:after="0" w:line="256" w:lineRule="auto"/>
        <w:tabs>
          <w:tab w:leader="none" w:pos="2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Recruitment of patients for our clinical trials may be slower than anticipated due to the low prevalence of these conditions, competition for patients from other clinical trials and the burden of our clinical trials on patients, including due to the duration of our clinical trials, the need for a higher degree of oversight by principal investigators, and the requirement of patient adherence to strict electronic bleed diary protocol requirements.</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0159"/>
          </w:cols>
          <w:pgMar w:left="300" w:top="415"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359" w:hanging="338"/>
        <w:spacing w:after="0" w:line="263" w:lineRule="auto"/>
        <w:tabs>
          <w:tab w:leader="none" w:pos="2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potential that rare and severe side effects of our product candidates may be uncovered in the later stages of clinical development due to accelerated development, which could result in disruptions and delays or a need for increased sample sizes for our clinical trials.</w:t>
      </w:r>
    </w:p>
    <w:p>
      <w:pPr>
        <w:spacing w:after="0" w:line="55"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with most procoagulant drugs, our product candidates have the potential for adverse effects, including thrombotic events, which can occur at any active dose level due to sporadic or patient-specific factors that are hard to identify.</w:t>
      </w:r>
    </w:p>
    <w:p>
      <w:pPr>
        <w:spacing w:after="0" w:line="39"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patient populations in coagulation disorders are not as accustomed to participation in clinical trials, as in other indications, which may impact the ability to recruit and maintain patients in our clinical trials.</w:t>
      </w:r>
    </w:p>
    <w:p>
      <w:pPr>
        <w:spacing w:after="0" w:line="115" w:lineRule="exact"/>
        <w:rPr>
          <w:sz w:val="20"/>
          <w:szCs w:val="20"/>
          <w:color w:val="auto"/>
        </w:rPr>
      </w:pPr>
    </w:p>
    <w:p>
      <w:pPr>
        <w:ind w:left="1220" w:right="379" w:firstLine="353"/>
        <w:spacing w:after="0" w:line="263" w:lineRule="auto"/>
        <w:rPr>
          <w:sz w:val="20"/>
          <w:szCs w:val="20"/>
          <w:color w:val="auto"/>
        </w:rPr>
      </w:pPr>
      <w:r>
        <w:rPr>
          <w:rFonts w:ascii="Arial" w:cs="Arial" w:eastAsia="Arial" w:hAnsi="Arial"/>
          <w:sz w:val="14"/>
          <w:szCs w:val="14"/>
          <w:color w:val="auto"/>
        </w:rPr>
        <w:t>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31" w:lineRule="exact"/>
        <w:rPr>
          <w:sz w:val="20"/>
          <w:szCs w:val="20"/>
          <w:color w:val="auto"/>
        </w:rPr>
      </w:pPr>
    </w:p>
    <w:p>
      <w:pPr>
        <w:ind w:left="1220" w:right="219" w:firstLine="353"/>
        <w:spacing w:after="0" w:line="246" w:lineRule="auto"/>
        <w:rPr>
          <w:sz w:val="20"/>
          <w:szCs w:val="20"/>
          <w:color w:val="auto"/>
        </w:rPr>
      </w:pPr>
      <w:r>
        <w:rPr>
          <w:rFonts w:ascii="Arial" w:cs="Arial" w:eastAsia="Arial" w:hAnsi="Arial"/>
          <w:sz w:val="14"/>
          <w:szCs w:val="14"/>
          <w:color w:val="auto"/>
        </w:rPr>
        <w:t>Before we can commence clinical trials for a product candidate, we must complete extensive preclinical testing and studies that support investigational new drug applications, or INDs, and other regulatory filings in the United States, marketing applications in the European Union and other applications and filings in other jurisdictions. We cannot be certain of the timely completion or outcome of preclinical testing and studies and cannot predict if the FDA or other regulatory agencies will accept any proposed clinical programs or if the outcome of any preclinical testing and studies will ultimately support the further development of any product candidates. As a result, we cannot be sure that we will be able to submit INDs or similar applications for any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concurrently with clinical testing. The outcomes of these safety studies may delay the launch of, or enrollment in, future clinical trials and could impact our ability to continue to conduct our clinical trials.</w:t>
      </w:r>
    </w:p>
    <w:p>
      <w:pPr>
        <w:spacing w:after="0" w:line="146" w:lineRule="exact"/>
        <w:rPr>
          <w:sz w:val="20"/>
          <w:szCs w:val="20"/>
          <w:color w:val="auto"/>
        </w:rPr>
      </w:pPr>
    </w:p>
    <w:p>
      <w:pPr>
        <w:ind w:left="1220" w:right="159" w:firstLine="353"/>
        <w:spacing w:after="0" w:line="253" w:lineRule="auto"/>
        <w:rPr>
          <w:sz w:val="20"/>
          <w:szCs w:val="20"/>
          <w:color w:val="auto"/>
        </w:rPr>
      </w:pPr>
      <w:r>
        <w:rPr>
          <w:rFonts w:ascii="Arial" w:cs="Arial" w:eastAsia="Arial" w:hAnsi="Arial"/>
          <w:sz w:val="14"/>
          <w:szCs w:val="14"/>
          <w:color w:val="auto"/>
        </w:rPr>
        <w:t>Clinical testing is expensive and is difficult to design and implement, can take many years to complete, and is uncertain as to outcome. We cannot guarantee that any of our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w:t>
      </w:r>
    </w:p>
    <w:p>
      <w:pPr>
        <w:spacing w:after="0" w:line="306" w:lineRule="exact"/>
        <w:rPr>
          <w:sz w:val="20"/>
          <w:szCs w:val="20"/>
          <w:color w:val="auto"/>
        </w:rPr>
      </w:pPr>
    </w:p>
    <w:p>
      <w:pPr>
        <w:ind w:left="1220" w:right="219" w:firstLine="353"/>
        <w:spacing w:after="0" w:line="252" w:lineRule="auto"/>
        <w:rPr>
          <w:sz w:val="20"/>
          <w:szCs w:val="20"/>
          <w:color w:val="auto"/>
        </w:rPr>
      </w:pPr>
      <w:r>
        <w:rPr>
          <w:rFonts w:ascii="Arial" w:cs="Arial" w:eastAsia="Arial" w:hAnsi="Arial"/>
          <w:sz w:val="14"/>
          <w:szCs w:val="14"/>
          <w:color w:val="auto"/>
        </w:rPr>
        <w:t>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EMA or other regulatory authorities to require additional testing before approving any of our product candidates.</w:t>
      </w:r>
    </w:p>
    <w:p>
      <w:pPr>
        <w:spacing w:after="0" w:line="228" w:lineRule="exact"/>
        <w:rPr>
          <w:sz w:val="20"/>
          <w:szCs w:val="20"/>
          <w:color w:val="auto"/>
        </w:rPr>
      </w:pPr>
    </w:p>
    <w:p>
      <w:pPr>
        <w:ind w:left="1220" w:right="279"/>
        <w:spacing w:after="0" w:line="294" w:lineRule="auto"/>
        <w:rPr>
          <w:sz w:val="20"/>
          <w:szCs w:val="20"/>
          <w:color w:val="auto"/>
        </w:rPr>
      </w:pPr>
      <w:r>
        <w:rPr>
          <w:rFonts w:ascii="Arial" w:cs="Arial" w:eastAsia="Arial" w:hAnsi="Arial"/>
          <w:sz w:val="14"/>
          <w:szCs w:val="14"/>
          <w:b w:val="1"/>
          <w:bCs w:val="1"/>
          <w:i w:val="1"/>
          <w:iCs w:val="1"/>
          <w:color w:val="auto"/>
        </w:rPr>
        <w:t>We may incur unexpected costs or experience delays in completing, or ultimately be unable to complete, the development and commercialization of our product candidates.</w:t>
      </w:r>
    </w:p>
    <w:p>
      <w:pPr>
        <w:spacing w:after="0" w:line="15" w:lineRule="exact"/>
        <w:rPr>
          <w:sz w:val="20"/>
          <w:szCs w:val="20"/>
          <w:color w:val="auto"/>
        </w:rPr>
      </w:pPr>
    </w:p>
    <w:p>
      <w:pPr>
        <w:ind w:left="1220" w:right="459" w:firstLine="353"/>
        <w:spacing w:after="0" w:line="285" w:lineRule="auto"/>
        <w:rPr>
          <w:sz w:val="20"/>
          <w:szCs w:val="20"/>
          <w:color w:val="auto"/>
        </w:rPr>
      </w:pPr>
      <w:r>
        <w:rPr>
          <w:rFonts w:ascii="Arial" w:cs="Arial" w:eastAsia="Arial" w:hAnsi="Arial"/>
          <w:sz w:val="14"/>
          <w:szCs w:val="14"/>
          <w:color w:val="auto"/>
        </w:rPr>
        <w:t>We may experience numerous unforeseen events during, or as a result of, clinical trials that could delay or prevent our ability to receive marketing approval or commercialize our product candidates and any other product candidates we may develop, including:</w:t>
      </w:r>
    </w:p>
    <w:p>
      <w:pPr>
        <w:spacing w:after="0" w:line="40" w:lineRule="exact"/>
        <w:rPr>
          <w:sz w:val="20"/>
          <w:szCs w:val="20"/>
          <w:color w:val="auto"/>
        </w:rPr>
      </w:pPr>
    </w:p>
    <w:p>
      <w:pPr>
        <w:ind w:left="2000" w:right="199" w:hanging="338"/>
        <w:spacing w:after="0" w:line="285"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regulators or institutional review boards, or IRBs, or independent ethics committees may not authorize us or our investigators to commence a clinical trial or conduct a clinical trial at a prospective trial site;</w:t>
      </w:r>
    </w:p>
    <w:p>
      <w:pPr>
        <w:spacing w:after="0" w:line="39" w:lineRule="exact"/>
        <w:rPr>
          <w:rFonts w:ascii="Arial" w:cs="Arial" w:eastAsia="Arial" w:hAnsi="Arial"/>
          <w:sz w:val="14"/>
          <w:szCs w:val="14"/>
          <w:color w:val="auto"/>
        </w:rPr>
      </w:pPr>
    </w:p>
    <w:p>
      <w:pPr>
        <w:ind w:left="2000" w:right="719" w:hanging="338"/>
        <w:spacing w:after="0" w:line="285"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experience delays in reaching, or fail to reach, agreement on acceptable clinical trial contracts or clinical trial protocols with prospective trial sites;</w:t>
      </w:r>
    </w:p>
    <w:p>
      <w:pPr>
        <w:spacing w:after="0" w:line="39"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regulators may decide that longer follow-up data are needed before they will consider our marketing applications, which would delay our ability to obtain marketing approval;</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regulators may decide the design of our clinical trials is flawed, for example, if our trial protocol does not evaluate treatment effects in trial subjects for a sufficient length of time;</w:t>
      </w:r>
    </w:p>
    <w:p>
      <w:pPr>
        <w:spacing w:after="0" w:line="39" w:lineRule="exact"/>
        <w:rPr>
          <w:rFonts w:ascii="Arial" w:cs="Arial" w:eastAsia="Arial" w:hAnsi="Arial"/>
          <w:sz w:val="14"/>
          <w:szCs w:val="14"/>
          <w:color w:val="auto"/>
        </w:rPr>
      </w:pPr>
    </w:p>
    <w:p>
      <w:pPr>
        <w:ind w:left="2000" w:right="179" w:hanging="338"/>
        <w:spacing w:after="0" w:line="263"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clinical trials of our product candidates and any other product candidates we may develop may produce negative or inconclusive results, and we may decide, or regulators may require us, to conduct additional clinical trials or abandon product development programs;</w:t>
      </w:r>
    </w:p>
    <w:p>
      <w:pPr>
        <w:spacing w:after="0" w:line="55" w:lineRule="exact"/>
        <w:rPr>
          <w:rFonts w:ascii="Arial" w:cs="Arial" w:eastAsia="Arial" w:hAnsi="Arial"/>
          <w:sz w:val="14"/>
          <w:szCs w:val="14"/>
          <w:color w:val="auto"/>
        </w:rPr>
      </w:pPr>
    </w:p>
    <w:p>
      <w:pPr>
        <w:ind w:left="2000" w:right="159" w:hanging="338"/>
        <w:spacing w:after="0" w:line="263" w:lineRule="auto"/>
        <w:tabs>
          <w:tab w:leader="none" w:pos="20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159"/>
          </w:cols>
          <w:pgMar w:left="300" w:top="415"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119" w:hanging="338"/>
        <w:spacing w:after="0" w:line="263"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55" w:lineRule="exact"/>
        <w:rPr>
          <w:rFonts w:ascii="Arial" w:cs="Arial" w:eastAsia="Arial" w:hAnsi="Arial"/>
          <w:sz w:val="14"/>
          <w:szCs w:val="14"/>
          <w:color w:val="auto"/>
        </w:rPr>
      </w:pPr>
    </w:p>
    <w:p>
      <w:pPr>
        <w:jc w:val="both"/>
        <w:ind w:left="2000" w:right="159" w:hanging="338"/>
        <w:spacing w:after="0" w:line="263"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number of patients required for clinical trials of our product candidates and any other product candidates we may develop may be larger than we anticipate, enrollment in these clinical trials may be slower than we anticipate, or participants may drop out of these clinical trials at a higher rate than we anticipate;</w:t>
      </w:r>
    </w:p>
    <w:p>
      <w:pPr>
        <w:spacing w:after="0" w:line="55" w:lineRule="exact"/>
        <w:rPr>
          <w:rFonts w:ascii="Arial" w:cs="Arial" w:eastAsia="Arial" w:hAnsi="Arial"/>
          <w:sz w:val="14"/>
          <w:szCs w:val="14"/>
          <w:color w:val="auto"/>
        </w:rPr>
      </w:pPr>
    </w:p>
    <w:p>
      <w:pPr>
        <w:ind w:left="2000" w:right="49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or meet their contractual obligations to us in a timely manner, or at all;</w:t>
      </w:r>
    </w:p>
    <w:p>
      <w:pPr>
        <w:spacing w:after="0" w:line="39" w:lineRule="exact"/>
        <w:rPr>
          <w:rFonts w:ascii="Arial" w:cs="Arial" w:eastAsia="Arial" w:hAnsi="Arial"/>
          <w:sz w:val="14"/>
          <w:szCs w:val="14"/>
          <w:color w:val="auto"/>
        </w:rPr>
      </w:pPr>
    </w:p>
    <w:p>
      <w:pPr>
        <w:ind w:left="2000" w:right="159" w:hanging="338"/>
        <w:spacing w:after="0" w:line="263"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may decide, or regulators or IRBs may require us, to suspend or terminate clinical trials of our product candidates and any other product candidates we may develop for various reasons, including non-compliance with regulatory requirements or a finding that the participants are being exposed to unacceptable health risks;</w:t>
      </w:r>
    </w:p>
    <w:p>
      <w:pPr>
        <w:spacing w:after="0" w:line="55" w:lineRule="exact"/>
        <w:rPr>
          <w:rFonts w:ascii="Arial" w:cs="Arial" w:eastAsia="Arial" w:hAnsi="Arial"/>
          <w:sz w:val="14"/>
          <w:szCs w:val="14"/>
          <w:color w:val="auto"/>
        </w:rPr>
      </w:pPr>
    </w:p>
    <w:p>
      <w:pPr>
        <w:ind w:left="2000" w:right="51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regulators may require us to perform additional or unanticipated clinical trials to obtain approval or we may be subject to additional post-marketing testing requirements to maintain marketing approval;</w:t>
      </w:r>
    </w:p>
    <w:p>
      <w:pPr>
        <w:spacing w:after="0" w:line="39" w:lineRule="exact"/>
        <w:rPr>
          <w:rFonts w:ascii="Arial" w:cs="Arial" w:eastAsia="Arial" w:hAnsi="Arial"/>
          <w:sz w:val="14"/>
          <w:szCs w:val="14"/>
          <w:color w:val="auto"/>
        </w:rPr>
      </w:pPr>
    </w:p>
    <w:p>
      <w:pPr>
        <w:ind w:left="2000" w:right="53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regulators may revise the requirements for approving our product candidates and any other product candidates we may develop, or such requirements may not be as we anticipate;</w:t>
      </w:r>
    </w:p>
    <w:p>
      <w:pPr>
        <w:spacing w:after="0" w:line="39" w:lineRule="exact"/>
        <w:rPr>
          <w:rFonts w:ascii="Arial" w:cs="Arial" w:eastAsia="Arial" w:hAnsi="Arial"/>
          <w:sz w:val="14"/>
          <w:szCs w:val="14"/>
          <w:color w:val="auto"/>
        </w:rPr>
      </w:pPr>
    </w:p>
    <w:p>
      <w:pPr>
        <w:ind w:left="2000" w:right="17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of clinical trials of our product candidates and any other product candidates we may develop may be greater than we anticipate;</w:t>
      </w:r>
    </w:p>
    <w:p>
      <w:pPr>
        <w:spacing w:after="0" w:line="39" w:lineRule="exact"/>
        <w:rPr>
          <w:rFonts w:ascii="Arial" w:cs="Arial" w:eastAsia="Arial" w:hAnsi="Arial"/>
          <w:sz w:val="14"/>
          <w:szCs w:val="14"/>
          <w:color w:val="auto"/>
        </w:rPr>
      </w:pPr>
    </w:p>
    <w:p>
      <w:pPr>
        <w:ind w:left="2000" w:right="77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supply or quality of our product candidates and any other product candidates we may develop or other materials necessary to conduct clinical trials of such product candidates may be insufficient or inadequate;</w:t>
      </w:r>
    </w:p>
    <w:p>
      <w:pPr>
        <w:spacing w:after="0" w:line="39" w:lineRule="exact"/>
        <w:rPr>
          <w:rFonts w:ascii="Arial" w:cs="Arial" w:eastAsia="Arial" w:hAnsi="Arial"/>
          <w:sz w:val="14"/>
          <w:szCs w:val="14"/>
          <w:color w:val="auto"/>
        </w:rPr>
      </w:pPr>
    </w:p>
    <w:p>
      <w:pPr>
        <w:ind w:left="2000" w:right="239" w:hanging="338"/>
        <w:spacing w:after="0" w:line="263"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product candidates and any other product candidates we may develop may have undesirable side effects or other unexpected characteristics, causing us or our investigators, regulators or IRBs or ethics committees to suspend or terminate the trials; and</w:t>
      </w:r>
    </w:p>
    <w:p>
      <w:pPr>
        <w:spacing w:after="0" w:line="55" w:lineRule="exact"/>
        <w:rPr>
          <w:rFonts w:ascii="Arial" w:cs="Arial" w:eastAsia="Arial" w:hAnsi="Arial"/>
          <w:sz w:val="14"/>
          <w:szCs w:val="14"/>
          <w:color w:val="auto"/>
        </w:rPr>
      </w:pPr>
    </w:p>
    <w:p>
      <w:pPr>
        <w:ind w:left="2000" w:right="499" w:hanging="338"/>
        <w:spacing w:after="0" w:line="285" w:lineRule="auto"/>
        <w:tabs>
          <w:tab w:leader="none" w:pos="20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regulators may withdraw their approval of a product or impose restrictions on its distribution, such as in the form of a risk evaluation and mitigation strategy, or REMS.</w:t>
      </w:r>
    </w:p>
    <w:p>
      <w:pPr>
        <w:spacing w:after="0" w:line="115"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We could encounter delays if a clinical trial is suspended or terminated by us, by the IRBs of the institutions in which such trials are conducted or their ethics committees, by the data review committee or data safety monitoring board for such trial or by the FDA, EMA or other foreign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foreign regulatory authorities resulting in the imposition of a clinical hold, unforeseen safety issues or adverse side effects, including those relating to the class of products to which our product candidates belong.</w:t>
      </w:r>
    </w:p>
    <w:p>
      <w:pPr>
        <w:spacing w:after="0" w:line="141" w:lineRule="exact"/>
        <w:rPr>
          <w:sz w:val="20"/>
          <w:szCs w:val="20"/>
          <w:color w:val="auto"/>
        </w:rPr>
      </w:pPr>
    </w:p>
    <w:p>
      <w:pPr>
        <w:jc w:val="both"/>
        <w:ind w:left="1220" w:right="599" w:firstLine="353"/>
        <w:spacing w:after="0" w:line="256" w:lineRule="auto"/>
        <w:rPr>
          <w:sz w:val="20"/>
          <w:szCs w:val="20"/>
          <w:color w:val="auto"/>
        </w:rPr>
      </w:pPr>
      <w:r>
        <w:rPr>
          <w:rFonts w:ascii="Arial" w:cs="Arial" w:eastAsia="Arial" w:hAnsi="Arial"/>
          <w:sz w:val="14"/>
          <w:szCs w:val="14"/>
          <w:color w:val="auto"/>
        </w:rPr>
        <w:t>If we are required to conduct additional clinical trials or other testing of our product candidates beyond those that we currently contemplate, if we are unable to successfully complete clinical trials or other testing of our product candidates or any other product candidates we may develop, if the results of these trials or tests are not positive or are only modestly positive, or if there are safety concerns, we may:</w:t>
      </w:r>
    </w:p>
    <w:p>
      <w:pPr>
        <w:spacing w:after="0" w:line="60" w:lineRule="exact"/>
        <w:rPr>
          <w:sz w:val="20"/>
          <w:szCs w:val="20"/>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be delayed in obtaining marketing approval for any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obtain approval with labeling or a REMS that includes significant use or distribution restrictions or safety warnings;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4" w:lineRule="exact"/>
        <w:rPr>
          <w:sz w:val="20"/>
          <w:szCs w:val="20"/>
          <w:color w:val="auto"/>
        </w:rPr>
      </w:pPr>
    </w:p>
    <w:p>
      <w:pPr>
        <w:ind w:left="1220" w:right="199" w:firstLine="353"/>
        <w:spacing w:after="0" w:line="249" w:lineRule="auto"/>
        <w:rPr>
          <w:sz w:val="20"/>
          <w:szCs w:val="20"/>
          <w:color w:val="auto"/>
        </w:rPr>
      </w:pPr>
      <w:r>
        <w:rPr>
          <w:rFonts w:ascii="Arial" w:cs="Arial" w:eastAsia="Arial" w:hAnsi="Arial"/>
          <w:sz w:val="14"/>
          <w:szCs w:val="14"/>
          <w:color w:val="auto"/>
        </w:rPr>
        <w:t>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any product candidates or allow our competitors to bring products to market before we do and impair our ability to successfully commercialize any product candidates and may harm our business and results of operations.</w:t>
      </w:r>
    </w:p>
    <w:p>
      <w:pPr>
        <w:spacing w:after="0" w:line="229" w:lineRule="exact"/>
        <w:rPr>
          <w:sz w:val="20"/>
          <w:szCs w:val="20"/>
          <w:color w:val="auto"/>
        </w:rPr>
      </w:pPr>
    </w:p>
    <w:p>
      <w:pPr>
        <w:ind w:left="1220" w:right="419"/>
        <w:spacing w:after="0" w:line="294" w:lineRule="auto"/>
        <w:rPr>
          <w:sz w:val="20"/>
          <w:szCs w:val="20"/>
          <w:color w:val="auto"/>
        </w:rPr>
      </w:pPr>
      <w:r>
        <w:rPr>
          <w:rFonts w:ascii="Arial" w:cs="Arial" w:eastAsia="Arial" w:hAnsi="Arial"/>
          <w:sz w:val="14"/>
          <w:szCs w:val="14"/>
          <w:b w:val="1"/>
          <w:bCs w:val="1"/>
          <w:i w:val="1"/>
          <w:iCs w:val="1"/>
          <w:color w:val="auto"/>
        </w:rPr>
        <w:t>The outcome of preclinical studies and earlier-stage clinical trials may not be predictive of the success of later-stage clinical trials.</w:t>
      </w:r>
    </w:p>
    <w:p>
      <w:pPr>
        <w:spacing w:after="0" w:line="15" w:lineRule="exact"/>
        <w:rPr>
          <w:sz w:val="20"/>
          <w:szCs w:val="20"/>
          <w:color w:val="auto"/>
        </w:rPr>
      </w:pPr>
    </w:p>
    <w:p>
      <w:pPr>
        <w:ind w:left="1220" w:right="199" w:firstLine="353"/>
        <w:spacing w:after="0" w:line="247" w:lineRule="auto"/>
        <w:rPr>
          <w:sz w:val="20"/>
          <w:szCs w:val="20"/>
          <w:color w:val="auto"/>
        </w:rPr>
      </w:pPr>
      <w:r>
        <w:rPr>
          <w:rFonts w:ascii="Arial" w:cs="Arial" w:eastAsia="Arial" w:hAnsi="Arial"/>
          <w:sz w:val="14"/>
          <w:szCs w:val="14"/>
          <w:color w:val="auto"/>
        </w:rPr>
        <w:t>The outcome of preclinical testing and earlier-stage clinical trials may not be predictive of the success of later-stage clinical trials. Our product candidates and any other product candidates we may develop may fail to show the desired safety, potency and purity in clinical development despite positive results in preclinical studies or having successfully advanced through initial clinical trials. For example, we are currently planning our Phase 3 clinical trial of sutacimig in patients with Glanzmann thrombasthenia, based off the positive results of our Phase 1/2 dose-finding study in patients with Glanzmann thrombasthenia. However, we cannot provide assurances that the evidence of activity we observed in our Phase 1/2 trial of sutacimig will translate to our planned Phase 3 clinical trial. Additionally, any positive results generated in our ongoing and planned clinical trials do not ensure that we will achieve similar results in later-stage clinical trials of these product candidates, and we cannot provide assurances that we will be able to seek or obtain marketing approval for any of our product candidates even if our clinical trials are successful.</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159"/>
          </w:cols>
          <w:pgMar w:left="300" w:top="415"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firstLine="353"/>
        <w:spacing w:after="0" w:line="247" w:lineRule="auto"/>
        <w:rPr>
          <w:sz w:val="20"/>
          <w:szCs w:val="20"/>
          <w:color w:val="auto"/>
        </w:rPr>
      </w:pPr>
      <w:r>
        <w:rPr>
          <w:rFonts w:ascii="Arial" w:cs="Arial" w:eastAsia="Arial" w:hAnsi="Arial"/>
          <w:sz w:val="14"/>
          <w:szCs w:val="14"/>
          <w:color w:val="auto"/>
        </w:rPr>
        <w:t>Many companies in the pharmaceutical and biotechnology industries have suffered significant setbacks in late-stage clinical trials after achieving promising results in preclinical testing and earlier-stage clinical trials, and we cannot be certain that we will not face similar setbacks. In addition, while the animal models used in preclinical studies are designed to be representative of disease states in humans, these preclinical models may not be able to accurately predict the way a product candidate will affect patients in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potency and purity in any clinical trial could negatively impact the perception of any other product candidates we may developing at the time and/or cause the FDA or other regulatory authorities to require additional testing before approving any other product candidates.</w:t>
      </w:r>
    </w:p>
    <w:p>
      <w:pPr>
        <w:spacing w:after="0" w:line="231" w:lineRule="exact"/>
        <w:rPr>
          <w:sz w:val="20"/>
          <w:szCs w:val="20"/>
          <w:color w:val="auto"/>
        </w:rPr>
      </w:pPr>
    </w:p>
    <w:p>
      <w:pPr>
        <w:ind w:left="1220" w:right="179"/>
        <w:spacing w:after="0" w:line="268" w:lineRule="auto"/>
        <w:rPr>
          <w:sz w:val="20"/>
          <w:szCs w:val="20"/>
          <w:color w:val="auto"/>
        </w:rPr>
      </w:pPr>
      <w:r>
        <w:rPr>
          <w:rFonts w:ascii="Arial" w:cs="Arial" w:eastAsia="Arial" w:hAnsi="Arial"/>
          <w:sz w:val="14"/>
          <w:szCs w:val="14"/>
          <w:b w:val="1"/>
          <w:bCs w:val="1"/>
          <w:i w:val="1"/>
          <w:iCs w:val="1"/>
          <w:color w:val="auto"/>
        </w:rPr>
        <w:t>Interim, top-line and preliminary results from our clinical trials that we announce or publish from time to time may change as more patient data become available and are subject to audit and verification procedures, which could result in material changes in the final data.</w:t>
      </w:r>
    </w:p>
    <w:p>
      <w:pPr>
        <w:spacing w:after="0" w:line="32"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From time to time, we may publish or report interim, top-line or preliminary results from our clinical trials. For example, we plan to report data for our Phase 2 clinical trial of sutacimig in Factor VII deficiency in late 2026 or early 2027, and data from our Phase 1/2 clinical trial of HMB-002 in patients with Von Willebrand Disease in late 2026 or early 2027. Interim results from clinical trials that we may complete are subject to the risk that one or more of the clinical outcomes may materially change as patient enrollment continues and more patient data become available. Preliminary, interim or top-line results also remain subject to audit and verification procedures that may result in the final data being materially different from the preliminary or interim data we previously published. As a result, interim, top-line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231" w:lineRule="exact"/>
        <w:rPr>
          <w:sz w:val="20"/>
          <w:szCs w:val="20"/>
          <w:color w:val="auto"/>
        </w:rPr>
      </w:pPr>
    </w:p>
    <w:p>
      <w:pPr>
        <w:ind w:left="1220" w:right="119"/>
        <w:spacing w:after="0" w:line="294" w:lineRule="auto"/>
        <w:rPr>
          <w:sz w:val="20"/>
          <w:szCs w:val="20"/>
          <w:color w:val="auto"/>
        </w:rPr>
      </w:pPr>
      <w:r>
        <w:rPr>
          <w:rFonts w:ascii="Arial" w:cs="Arial" w:eastAsia="Arial" w:hAnsi="Arial"/>
          <w:sz w:val="14"/>
          <w:szCs w:val="14"/>
          <w:b w:val="1"/>
          <w:bCs w:val="1"/>
          <w:i w:val="1"/>
          <w:iCs w:val="1"/>
          <w:color w:val="auto"/>
        </w:rPr>
        <w:t>As an organization, we have never conducted pivotal clinical trials, and we may be unable to do so for our product candidates or any other product candidates we may develop.</w:t>
      </w:r>
    </w:p>
    <w:p>
      <w:pPr>
        <w:spacing w:after="0" w:line="15"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We will need to successfully complete pivotal clinical trials in order to obtain the approval of the FDA, the EMA, or other regulatory agencies to market our product candidates or any future product candidate. Carrying out later-stage clinical trials is a complicated process. As an organization, we have not previously conducted any pivotal clinical trials. In order to do so, we will need to significantly expand our clinical development and regulatory capabilities. In addition, we may be unable to recruit and train qualified personnel. Consequently, we may be unable to successfully and efficiently execute and complete necessary clinical trials in a way that leads to approval of our product candidates or future product candidates. We may require more time and incur greater costs than our competitors and may not succeed in obtaining marketing approvals of product candidates that we develop.</w:t>
      </w:r>
    </w:p>
    <w:p>
      <w:pPr>
        <w:spacing w:after="0" w:line="140"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Due to the complexity, expense, scale and size of clinical trials, we may have to find one or more collaborators to conduct such a trial, and there can be no assurance that we would be able to do so. Even if we are able to find a collaborator, we may have to relinquish valuable rights to our technologies, future revenue streams, research programs or product candidates or grant licenses on terms that may not be favorable to us. See “—Risks Related to Our Dependence on Third Parties—We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 Failure to commence or complete, or delays in, our planned clinical trials, could prevent us from or delay us in commercializing our product candidates.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159"/>
          </w:cols>
          <w:pgMar w:left="300" w:top="415"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139"/>
        <w:spacing w:after="0" w:line="268" w:lineRule="auto"/>
        <w:rPr>
          <w:sz w:val="20"/>
          <w:szCs w:val="20"/>
          <w:color w:val="auto"/>
        </w:rPr>
      </w:pPr>
      <w:r>
        <w:rPr>
          <w:rFonts w:ascii="Arial" w:cs="Arial" w:eastAsia="Arial" w:hAnsi="Arial"/>
          <w:sz w:val="14"/>
          <w:szCs w:val="14"/>
          <w:b w:val="1"/>
          <w:bCs w:val="1"/>
          <w:i w:val="1"/>
          <w:iCs w:val="1"/>
          <w:color w:val="auto"/>
        </w:rPr>
        <w:t>If we do not achieve our projected development and commercialization goals in the timeframes we announce and expect, the development and commercialization of our product candidates may be delayed, and our business and results of operations may be harmed.</w:t>
      </w:r>
    </w:p>
    <w:p>
      <w:pPr>
        <w:spacing w:after="0" w:line="32"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64" w:lineRule="exact"/>
        <w:rPr>
          <w:sz w:val="20"/>
          <w:szCs w:val="20"/>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available capital resources or capital constraints we experience;</w:t>
      </w:r>
    </w:p>
    <w:p>
      <w:pPr>
        <w:spacing w:after="0" w:line="98" w:lineRule="exact"/>
        <w:rPr>
          <w:rFonts w:ascii="Arial" w:cs="Arial" w:eastAsia="Arial" w:hAnsi="Arial"/>
          <w:sz w:val="14"/>
          <w:szCs w:val="14"/>
          <w:color w:val="auto"/>
        </w:rPr>
      </w:pPr>
    </w:p>
    <w:p>
      <w:pPr>
        <w:ind w:left="2000" w:right="399" w:hanging="338"/>
        <w:spacing w:after="0" w:line="285" w:lineRule="auto"/>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rate of progress, costs and results of our clinical trials and research and development activities, including the extent of scheduling conflicts with participating clinicians and collaborators;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identify and enroll patients who meet clinical trial eligibility criteria;</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receipt of approvals by the FDA, EMA, and other comparable regulatory authorities and the timing thereof;</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other actions, decisions or rules issued by regulators;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access sufficient, reliable and affordable supplies of materials used to manufacture our product candidates;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efforts of our collaborators with respect to the commercialization of our product candidates; and</w:t>
      </w:r>
    </w:p>
    <w:p>
      <w:pPr>
        <w:spacing w:after="0" w:line="98" w:lineRule="exact"/>
        <w:rPr>
          <w:rFonts w:ascii="Arial" w:cs="Arial" w:eastAsia="Arial" w:hAnsi="Arial"/>
          <w:sz w:val="14"/>
          <w:szCs w:val="14"/>
          <w:color w:val="auto"/>
        </w:rPr>
      </w:pPr>
    </w:p>
    <w:p>
      <w:pPr>
        <w:ind w:left="2000" w:right="399" w:hanging="338"/>
        <w:spacing w:after="0" w:line="285" w:lineRule="auto"/>
        <w:tabs>
          <w:tab w:leader="none" w:pos="20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securing of, costs related to, and timing issues associated with, product manufacturing as well as sales and marketing activities.</w:t>
      </w:r>
    </w:p>
    <w:p>
      <w:pPr>
        <w:spacing w:after="0" w:line="115" w:lineRule="exact"/>
        <w:rPr>
          <w:sz w:val="20"/>
          <w:szCs w:val="20"/>
          <w:color w:val="auto"/>
        </w:rPr>
      </w:pPr>
    </w:p>
    <w:p>
      <w:pPr>
        <w:ind w:left="1220" w:right="479" w:firstLine="353"/>
        <w:spacing w:after="0" w:line="285" w:lineRule="auto"/>
        <w:rPr>
          <w:sz w:val="20"/>
          <w:szCs w:val="20"/>
          <w:color w:val="auto"/>
        </w:rPr>
      </w:pPr>
      <w:r>
        <w:rPr>
          <w:rFonts w:ascii="Arial" w:cs="Arial" w:eastAsia="Arial" w:hAnsi="Arial"/>
          <w:sz w:val="14"/>
          <w:szCs w:val="14"/>
          <w:color w:val="auto"/>
        </w:rPr>
        <w:t>If we fail to achieve announced milestones in the timeframes we expect, the development and commercialization of our product candidates may be delayed, and our business and results of operations may be harmed.</w:t>
      </w:r>
    </w:p>
    <w:p>
      <w:pPr>
        <w:spacing w:after="0" w:line="204" w:lineRule="exact"/>
        <w:rPr>
          <w:sz w:val="20"/>
          <w:szCs w:val="20"/>
          <w:color w:val="auto"/>
        </w:rPr>
      </w:pPr>
    </w:p>
    <w:p>
      <w:pPr>
        <w:ind w:left="1220" w:right="139"/>
        <w:spacing w:after="0" w:line="294" w:lineRule="auto"/>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marketing approvals could be delayed or prevented.</w:t>
      </w:r>
    </w:p>
    <w:p>
      <w:pPr>
        <w:spacing w:after="0" w:line="15"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Identifying and qualifying patients to participate in clinical trials for our product candidates and any other product candidates we may develop is critical to our success. Successful and timely completion of clinical trials will require that we enroll a sufficient number of patients, as required by the FDA, EMA or similar regulatory authorities in other jurisdictions, who remain in the trial until its conclusion. Additionally, the prevalence of patients in our target indications is estimated to be low, and we estimate that there are approximately an aggregate of 10,000 patients with Glanzmann thrombasthenia and Factor VII deficiency and an aggregate of 120,000 patients with Von Willebrand Disease in the geographies where we intend to commercialize, including the United States, the European Union, Japan, the GCC countries and other select regions. We may not be able to identify, recruit, and enroll a sufficient number of patients to complete our clinical trials of our product candidates because of the perceived risks and benefits of our product candidates, the availability of competing therapies and clinical trials, the proximity and availability of clinical trial sites for prospective subjects and the subject referral practices of physicians, among other factors. Patient enrollment is affected by a variety of other factors, including:</w:t>
      </w:r>
    </w:p>
    <w:p>
      <w:pPr>
        <w:spacing w:after="0" w:line="70" w:lineRule="exact"/>
        <w:rPr>
          <w:sz w:val="20"/>
          <w:szCs w:val="20"/>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prevalence and severity of the disease under investigation;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eligibility and the discontinuation criteria for the trial in question;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perceived risks and benefits of the product candidate under trial;</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requirements of the trial protocols;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availability of existing commercially available treatments for the targeted indications;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ability to recruit clinical trial investigators with the appropriate competencies and experience;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efforts to facilitate timely enrollment in clinical trials;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patient referral practices of physicians;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ability to monitor patients adequately during and after treatment;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proximity and availability of clinical trial sites for prospective patients;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conduct of clinical trials by competitors for product candidates that treat the targeted indications;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ability to identify specific patient populations for biomarker-defined trial cohort(s);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cost to, or lack of adequate compensation for, prospective patients.</w:t>
      </w:r>
    </w:p>
    <w:p>
      <w:pPr>
        <w:spacing w:after="0" w:line="174"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Our inability to locate and enroll a sufficient number of patients for our clinical trials would result in significant delays, could require us to abandon one or more clinical trials altogether and could delay or prevent our receipt of necessary marketing approvals, any of which would have an adverse effect on our business, financial condition, results of operations and prospects. Enrollment delays in our clinical trials may result in increased development costs for our product candidates and any other product candidates we may develop, which would cause the value of our company to decline and limit our ability to obtain additional financing.</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159"/>
          </w:cols>
          <w:pgMar w:left="300" w:top="415"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99" w:firstLine="353"/>
        <w:spacing w:after="0" w:line="256" w:lineRule="auto"/>
        <w:rPr>
          <w:sz w:val="20"/>
          <w:szCs w:val="20"/>
          <w:color w:val="auto"/>
        </w:rPr>
      </w:pPr>
      <w:r>
        <w:rPr>
          <w:rFonts w:ascii="Arial" w:cs="Arial" w:eastAsia="Arial" w:hAnsi="Arial"/>
          <w:sz w:val="14"/>
          <w:szCs w:val="14"/>
          <w:color w:val="auto"/>
        </w:rPr>
        <w:t>Even if we are able to enroll a sufficient number of patients for our future clinical trials, we may have difficulty maintaining patients in our clinical trials, including that patients may drop out of our clinical trials. If we have difficulty enrolling or maintaining a sufficient number of patients to conduct our clinical trials, we may need to delay, limit or terminate clinical trials, any of which would harm our business, financial condition, results of operations and prospects.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Changes in methods of product candidate manufacturing or formulation may result in additional costs or delay.</w:t>
      </w:r>
    </w:p>
    <w:p>
      <w:pPr>
        <w:spacing w:after="0" w:line="86" w:lineRule="exact"/>
        <w:rPr>
          <w:sz w:val="20"/>
          <w:szCs w:val="20"/>
          <w:color w:val="auto"/>
        </w:rPr>
      </w:pPr>
    </w:p>
    <w:p>
      <w:pPr>
        <w:ind w:left="1220" w:right="239" w:firstLine="353"/>
        <w:spacing w:after="0" w:line="248" w:lineRule="auto"/>
        <w:rPr>
          <w:sz w:val="20"/>
          <w:szCs w:val="20"/>
          <w:color w:val="auto"/>
        </w:rPr>
      </w:pPr>
      <w:r>
        <w:rPr>
          <w:rFonts w:ascii="Arial" w:cs="Arial" w:eastAsia="Arial" w:hAnsi="Arial"/>
          <w:sz w:val="14"/>
          <w:szCs w:val="14"/>
          <w:color w:val="auto"/>
        </w:rPr>
        <w:t>As product candidates proceed through preclinical studies to late-stage clinical trials towards potential approval and commercialization, it is common that various aspects of the development program, such as manufacturing methods and formulation, are altered over the course of development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29" w:lineRule="exact"/>
        <w:rPr>
          <w:sz w:val="20"/>
          <w:szCs w:val="20"/>
          <w:color w:val="auto"/>
        </w:rPr>
      </w:pPr>
    </w:p>
    <w:p>
      <w:pPr>
        <w:ind w:left="1220" w:right="319"/>
        <w:spacing w:after="0" w:line="268" w:lineRule="auto"/>
        <w:rPr>
          <w:sz w:val="20"/>
          <w:szCs w:val="20"/>
          <w:color w:val="auto"/>
        </w:rPr>
      </w:pPr>
      <w:r>
        <w:rPr>
          <w:rFonts w:ascii="Arial" w:cs="Arial" w:eastAsia="Arial" w:hAnsi="Arial"/>
          <w:sz w:val="14"/>
          <w:szCs w:val="14"/>
          <w:b w:val="1"/>
          <w:bCs w:val="1"/>
          <w:i w:val="1"/>
          <w:iCs w:val="1"/>
          <w:color w:val="auto"/>
        </w:rPr>
        <w:t>Serious adverse events of thrombosis have been identified in the development of sutacimig, and if additional serious adverse events or unacceptable side effects are identified during the development of our product candidates and any other product candidates we may develop, we may need to abandon or limit our development of those product candidates.</w:t>
      </w:r>
    </w:p>
    <w:p>
      <w:pPr>
        <w:spacing w:after="0" w:line="32" w:lineRule="exact"/>
        <w:rPr>
          <w:sz w:val="20"/>
          <w:szCs w:val="20"/>
          <w:color w:val="auto"/>
        </w:rPr>
      </w:pPr>
    </w:p>
    <w:p>
      <w:pPr>
        <w:ind w:left="1220" w:right="119" w:firstLine="353"/>
        <w:spacing w:after="0" w:line="256" w:lineRule="auto"/>
        <w:rPr>
          <w:sz w:val="20"/>
          <w:szCs w:val="20"/>
          <w:color w:val="auto"/>
        </w:rPr>
      </w:pPr>
      <w:r>
        <w:rPr>
          <w:rFonts w:ascii="Arial" w:cs="Arial" w:eastAsia="Arial" w:hAnsi="Arial"/>
          <w:sz w:val="14"/>
          <w:szCs w:val="14"/>
          <w:color w:val="auto"/>
        </w:rPr>
        <w:t>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For example, our Phase 1/2 clinical trial of sutacimig for the treatment of Glanzmann thrombasthenia has included only 34 patients.</w:t>
      </w:r>
    </w:p>
    <w:p>
      <w:pPr>
        <w:spacing w:after="0" w:line="135" w:lineRule="exact"/>
        <w:rPr>
          <w:sz w:val="20"/>
          <w:szCs w:val="20"/>
          <w:color w:val="auto"/>
        </w:rPr>
      </w:pPr>
    </w:p>
    <w:p>
      <w:pPr>
        <w:ind w:left="1220" w:right="159" w:firstLine="353"/>
        <w:spacing w:after="0" w:line="245" w:lineRule="auto"/>
        <w:rPr>
          <w:sz w:val="20"/>
          <w:szCs w:val="20"/>
          <w:color w:val="auto"/>
        </w:rPr>
      </w:pPr>
      <w:r>
        <w:rPr>
          <w:rFonts w:ascii="Arial" w:cs="Arial" w:eastAsia="Arial" w:hAnsi="Arial"/>
          <w:sz w:val="14"/>
          <w:szCs w:val="14"/>
          <w:color w:val="auto"/>
        </w:rPr>
        <w:t>In addition, as we continue to evaluate our product candidates, rare and severe side effects of our product candidates may be uncovered in the later stages of our current and future clinical development. For example, in our Phase 1/2 clinical trial of sutacimig in Glanzmann thrombasthenia, several patients have experienced events of thrombosis. In particular, one patient experienced a grade 2 proximal deep vein thrombotic event at the highest exposure level (0.9 mg/kg) and one patient at the 0.3 mg/kg dose level (whose dose had been reduced from 0.6 mg/kg) experienced grade 2 subsegmental pulmonary embolism. These events were reported to the FDA on an expedited reporting basis as an event of a type referred to as a Suspected Unexpected Serious Adverse Reaction (SUSAR). While we expect to select a lower dose than 0.6 mg/kg for purposes of our planned Phase 3 clinical trial, thrombotic events have been reported at the 0.3 mg/kg dose level, and there is no guarantee that thrombotic events or other serious adverse events will not occur even at lower doses. In addition, sutacimig’s mechanism of action inherently carries the risk of thrombotic complications if the drug achieves excessive systemic exposure or if patients have concurrent prothrombotic conditions or other risk factors. HMB-002’s intended mechanism of increasing von Willebrand factor, or VWF, and Factor VIII levels could also increase thrombotic risk, particularly in patients with concurrent conditions that increase VWF levels, such as pregnancy, acute illness, or hormonal contraception use, or result in other adverse events.</w:t>
      </w:r>
    </w:p>
    <w:p>
      <w:pPr>
        <w:spacing w:after="0" w:line="149"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Furthermore, many product candidates that initially showed promise in early-stage testing have later been found to cause side effects that prevented their further development. If our product candidates and any other product candidates we may develop are associated with undesirable side effects in clinical trials or have characteristics that are unexpected in clinical trials or preclinical testing, we may need to abandon their development or limit development to more narrow uses or subpopulations in which the side effects or other characteristics are less prevalent, less severe or more acceptable from a risk-benefit perspective. In biopharmaceutical development, many compounds that initially show promise in early-stage or clinical testing are later found to cause side effects that delay or prevent further development of the compound.</w:t>
      </w:r>
    </w:p>
    <w:p>
      <w:pPr>
        <w:spacing w:after="0" w:line="140"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and any other product candidates we may develop for any or all targeted indications. Furthermore, we expect that our clinical trial protocol for our planned Phase 3 trial may require us to pause or stop enrollment in the trial if one or more thrombotic events occur in order to assess whether it is safe to proceed with further enrollment and dosing. Any such event could cause significant delays in the execution and completion of the trial, or lead to discontinuation altogether. Treatment-related side effects could also affect patient recruitment or the ability of enrolled patients to complete any of our clinical trials. In addition, these side effects may not be appropriately recognized or managed by the treating medical staff. We may need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harm to patients that are administered our product candidates. Any of these occurrences may adversely affect our business, financial condition and prospects significantly.</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159"/>
          </w:cols>
          <w:pgMar w:left="300" w:top="415"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99"/>
        <w:spacing w:after="0" w:line="277" w:lineRule="auto"/>
        <w:rPr>
          <w:sz w:val="20"/>
          <w:szCs w:val="20"/>
          <w:color w:val="auto"/>
        </w:rPr>
      </w:pPr>
      <w:r>
        <w:rPr>
          <w:rFonts w:ascii="Arial" w:cs="Arial" w:eastAsia="Arial" w:hAnsi="Arial"/>
          <w:sz w:val="14"/>
          <w:szCs w:val="14"/>
          <w:b w:val="1"/>
          <w:bCs w:val="1"/>
          <w:i w:val="1"/>
          <w:iCs w:val="1"/>
          <w:color w:val="auto"/>
        </w:rPr>
        <w:t>If any product candidate receives marketing approval and we, or others, later discover that the drug is less effective than previously believed or causes undesirable side effects that were not previously identified, our ability to market the drug could be compromised.</w:t>
      </w:r>
    </w:p>
    <w:p>
      <w:pPr>
        <w:spacing w:after="0" w:line="200"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We conduct, and intend to conduct in the future, clinical trials of product candidates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any product candidate receives marketing approval, and we, or others, later discover that it is less effective than previously believed, or causes undesirable side effects, a number of potentially significant negative consequences could result, including:</w:t>
      </w:r>
    </w:p>
    <w:p>
      <w:pPr>
        <w:spacing w:after="0" w:line="64" w:lineRule="exact"/>
        <w:rPr>
          <w:sz w:val="20"/>
          <w:szCs w:val="20"/>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withdrawal or limitation by regulatory authorities of approvals of such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seizure of the product by regulatory authorities;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recall of the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restrictions on the marketing of the product or the manufacturing process for any component thereof;</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requirement by regulatory authorities of additional warnings on the label, such as a “black box” warning or contraindication;</w:t>
      </w:r>
    </w:p>
    <w:p>
      <w:pPr>
        <w:spacing w:after="0" w:line="98" w:lineRule="exact"/>
        <w:rPr>
          <w:rFonts w:ascii="Arial" w:cs="Arial" w:eastAsia="Arial" w:hAnsi="Arial"/>
          <w:sz w:val="14"/>
          <w:szCs w:val="14"/>
          <w:color w:val="auto"/>
        </w:rPr>
      </w:pPr>
    </w:p>
    <w:p>
      <w:pPr>
        <w:ind w:left="2000" w:right="199" w:hanging="338"/>
        <w:spacing w:after="0" w:line="285" w:lineRule="auto"/>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requirement that we implement a REMS or create a medication guide outlining the risks of such side effects for distribution to patients;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commitment to expensive post-marketing studies as a prerequisite of approval by regulatory authorities of such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product may become less competitive;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initiation of regulatory investigations and government enforcement actions;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initiation of legal action against us to hold us liable for harm caused to patients;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harm to our reputation and resulting harm to physician or patient acceptance of our products.</w:t>
      </w:r>
    </w:p>
    <w:p>
      <w:pPr>
        <w:spacing w:after="0" w:line="174" w:lineRule="exact"/>
        <w:rPr>
          <w:sz w:val="20"/>
          <w:szCs w:val="20"/>
          <w:color w:val="auto"/>
        </w:rPr>
      </w:pPr>
    </w:p>
    <w:p>
      <w:pPr>
        <w:ind w:left="1220" w:right="779" w:firstLine="353"/>
        <w:spacing w:after="0" w:line="285" w:lineRule="auto"/>
        <w:rPr>
          <w:sz w:val="20"/>
          <w:szCs w:val="20"/>
          <w:color w:val="auto"/>
        </w:rPr>
      </w:pPr>
      <w:r>
        <w:rPr>
          <w:rFonts w:ascii="Arial" w:cs="Arial" w:eastAsia="Arial" w:hAnsi="Arial"/>
          <w:sz w:val="14"/>
          <w:szCs w:val="14"/>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04" w:lineRule="exact"/>
        <w:rPr>
          <w:sz w:val="20"/>
          <w:szCs w:val="20"/>
          <w:color w:val="auto"/>
        </w:rPr>
      </w:pPr>
    </w:p>
    <w:p>
      <w:pPr>
        <w:ind w:left="1220" w:right="119"/>
        <w:spacing w:after="0" w:line="268" w:lineRule="auto"/>
        <w:rPr>
          <w:sz w:val="20"/>
          <w:szCs w:val="20"/>
          <w:color w:val="auto"/>
        </w:rPr>
      </w:pPr>
      <w:r>
        <w:rPr>
          <w:rFonts w:ascii="Arial" w:cs="Arial" w:eastAsia="Arial" w:hAnsi="Arial"/>
          <w:sz w:val="14"/>
          <w:szCs w:val="14"/>
          <w:b w:val="1"/>
          <w:bCs w:val="1"/>
          <w:i w:val="1"/>
          <w:iCs w:val="1"/>
          <w:color w:val="auto"/>
        </w:rPr>
        <w:t>Some data for our product candidates comes from clinical trials conducted outside the United States or European Union. The FDA, EMA, or other comparable regulatory authorities, may not accept data from trials conducted in such locations, which could subject us to additional delays and expense.</w:t>
      </w:r>
    </w:p>
    <w:p>
      <w:pPr>
        <w:spacing w:after="0" w:line="32" w:lineRule="exact"/>
        <w:rPr>
          <w:sz w:val="20"/>
          <w:szCs w:val="20"/>
          <w:color w:val="auto"/>
        </w:rPr>
      </w:pPr>
    </w:p>
    <w:p>
      <w:pPr>
        <w:ind w:left="1220" w:right="119" w:firstLine="353"/>
        <w:spacing w:after="0" w:line="244" w:lineRule="auto"/>
        <w:rPr>
          <w:sz w:val="20"/>
          <w:szCs w:val="20"/>
          <w:color w:val="auto"/>
        </w:rPr>
      </w:pPr>
      <w:r>
        <w:rPr>
          <w:rFonts w:ascii="Arial" w:cs="Arial" w:eastAsia="Arial" w:hAnsi="Arial"/>
          <w:sz w:val="14"/>
          <w:szCs w:val="14"/>
          <w:color w:val="auto"/>
        </w:rPr>
        <w:t>We may conduct one or more of our clinical trials with one or more trial sites that are located outside the United States or European Union. The acceptance of data from clinical trials conducted outside the United States or another jurisdiction by the FDA may be subject to certain conditions or may not be accepted at all. Similarly, the EMA, and other equivalent foreign regulatory authorities may not accept data from trials conducted outside their jurisdiction. For example, we are currently conducting our ongoing Phase 2 clinical trial of sutacimig in patients with Factor VII deficiency at sites in the United Kingdom, and our ongoing Phase 1/2 trial of HMB-002 in patients with Von Willebrand Disease at sites in United Kingdom, Australia, and the United States. We plan to conduct our Phase 3 clinical trial of sutacimig in patients with Glanzmann thrombasthenia in the United States, Europe and potentially other jurisdictions. In cases where data from clinical trials outside of the United States are intended to serve as the basis for marketing approval in the United States, acceptance of these data is subject to conditions imposed by the FDA. For example, the clinical trial must be well designed and conducted and be performed by qualified investigators in accordance with ethical principles. The FDA must be able to validate the data from the trial through an onsite inspection, if necessary. The trial population must also adequately represent the U.S. population, and the data must be applicable to the U.S. population and U.S. medical practice in ways that the FDA deems clinically meaningful. In addition, while these clinical trials are subject to the applicable local laws, whether the FDA accepts the data will depend on its determination that the trials also complied with all applicable U.S. laws and regulations. Additionally, recent policy proposals in the United States, if enacted in the future, may make acceptance by the FDA or inclusion in a marketing application of non-U.S. data more difficult or costly.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9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159"/>
          </w:cols>
          <w:pgMar w:left="300" w:top="415"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219"/>
        <w:spacing w:after="0" w:line="268" w:lineRule="auto"/>
        <w:rPr>
          <w:sz w:val="20"/>
          <w:szCs w:val="20"/>
          <w:color w:val="auto"/>
        </w:rPr>
      </w:pPr>
      <w:r>
        <w:rPr>
          <w:rFonts w:ascii="Arial" w:cs="Arial" w:eastAsia="Arial" w:hAnsi="Arial"/>
          <w:sz w:val="14"/>
          <w:szCs w:val="14"/>
          <w:b w:val="1"/>
          <w:bCs w:val="1"/>
          <w:i w:val="1"/>
          <w:iCs w:val="1"/>
          <w:color w:val="auto"/>
        </w:rPr>
        <w:t>We may not be successful in our efforts to identify or discover additional product candidates and may fail to capitalize on programs or product candidates that may present a greater commercial opportunity or for which there is a greater likelihood of success.</w:t>
      </w:r>
    </w:p>
    <w:p>
      <w:pPr>
        <w:spacing w:after="0" w:line="32" w:lineRule="exact"/>
        <w:rPr>
          <w:sz w:val="20"/>
          <w:szCs w:val="20"/>
          <w:color w:val="auto"/>
        </w:rPr>
      </w:pPr>
    </w:p>
    <w:p>
      <w:pPr>
        <w:jc w:val="both"/>
        <w:ind w:left="1220" w:right="319" w:firstLine="353"/>
        <w:spacing w:after="0" w:line="263" w:lineRule="auto"/>
        <w:rPr>
          <w:sz w:val="20"/>
          <w:szCs w:val="20"/>
          <w:color w:val="auto"/>
        </w:rPr>
      </w:pPr>
      <w:r>
        <w:rPr>
          <w:rFonts w:ascii="Arial" w:cs="Arial" w:eastAsia="Arial" w:hAnsi="Arial"/>
          <w:sz w:val="14"/>
          <w:szCs w:val="14"/>
          <w:color w:val="auto"/>
        </w:rPr>
        <w:t>If we do not successfully develop and eventually commercialize products, we will not generate product revenue in future periods, resulting in significant harm to our financial position and adversely affecting our share price. Research programs to identify new product candidates require substantial technical, financial and human resources.</w:t>
      </w:r>
    </w:p>
    <w:p>
      <w:pPr>
        <w:spacing w:after="0" w:line="131" w:lineRule="exact"/>
        <w:rPr>
          <w:sz w:val="20"/>
          <w:szCs w:val="20"/>
          <w:color w:val="auto"/>
        </w:rPr>
      </w:pPr>
    </w:p>
    <w:p>
      <w:pPr>
        <w:ind w:left="1220" w:right="279" w:firstLine="353"/>
        <w:spacing w:after="0" w:line="258" w:lineRule="auto"/>
        <w:rPr>
          <w:sz w:val="20"/>
          <w:szCs w:val="20"/>
          <w:color w:val="auto"/>
        </w:rPr>
      </w:pPr>
      <w:r>
        <w:rPr>
          <w:rFonts w:ascii="Arial" w:cs="Arial" w:eastAsia="Arial" w:hAnsi="Arial"/>
          <w:sz w:val="14"/>
          <w:szCs w:val="14"/>
          <w:color w:val="auto"/>
        </w:rPr>
        <w:t>Although our product candidates are currently in clinical development, we may fail to identify other potential product candidates for clinical development. Our focus on blood coagulation disorders limits our opportunities to a specific therapeutic area. If there are fewer than anticipated viable product targets in this area, or if competitors develop superior products for these indications, our business may suffer.</w:t>
      </w:r>
    </w:p>
    <w:p>
      <w:pPr>
        <w:spacing w:after="0" w:line="303"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Additionally, because we have limited resources, we may forego or delay pursuit of opportunities with certain programs or product candidates or for indications that later prove to have greater commercial potential. For example, we currently intend to focus our capital resources primarily on the development of our product candidates. We have prioritized the development of sutacimig for Glanzmann thrombasthenia and Factor VII deficiency, which are both blood disorders with small patient populations, instead of potentially expanding into larger platelet disorder indications, which may have larger markets and potentially greater commercial returns. The development of our product candidates may ultimately prove to be unsuccessful or less successful than another potential product candidate in our pipeline that we might have chosen to pursue on a more aggressive basis with our capital resources.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32" w:lineRule="exact"/>
        <w:rPr>
          <w:sz w:val="20"/>
          <w:szCs w:val="20"/>
          <w:color w:val="auto"/>
        </w:rPr>
      </w:pPr>
    </w:p>
    <w:p>
      <w:pPr>
        <w:ind w:left="1220" w:right="259"/>
        <w:spacing w:after="0" w:line="294" w:lineRule="auto"/>
        <w:rPr>
          <w:sz w:val="20"/>
          <w:szCs w:val="20"/>
          <w:color w:val="auto"/>
        </w:rPr>
      </w:pPr>
      <w:r>
        <w:rPr>
          <w:rFonts w:ascii="Arial" w:cs="Arial" w:eastAsia="Arial" w:hAnsi="Arial"/>
          <w:sz w:val="14"/>
          <w:szCs w:val="14"/>
          <w:b w:val="1"/>
          <w:bCs w:val="1"/>
          <w:i w:val="1"/>
          <w:iCs w:val="1"/>
          <w:color w:val="auto"/>
        </w:rPr>
        <w:t>If we engage in future acquisitions, this may increase our capital requirements, dilute our stockholders, cause us to incur debt or assume contingent liabilities, and subject us to other risks.</w:t>
      </w:r>
    </w:p>
    <w:p>
      <w:pPr>
        <w:spacing w:after="0" w:line="15" w:lineRule="exact"/>
        <w:rPr>
          <w:sz w:val="20"/>
          <w:szCs w:val="20"/>
          <w:color w:val="auto"/>
        </w:rPr>
      </w:pPr>
    </w:p>
    <w:p>
      <w:pPr>
        <w:ind w:left="1220" w:right="279" w:firstLine="353"/>
        <w:spacing w:after="0" w:line="285" w:lineRule="auto"/>
        <w:rPr>
          <w:sz w:val="20"/>
          <w:szCs w:val="20"/>
          <w:color w:val="auto"/>
        </w:rPr>
      </w:pPr>
      <w:r>
        <w:rPr>
          <w:rFonts w:ascii="Arial" w:cs="Arial" w:eastAsia="Arial" w:hAnsi="Arial"/>
          <w:sz w:val="14"/>
          <w:szCs w:val="14"/>
          <w:color w:val="auto"/>
        </w:rPr>
        <w:t>From time to time, we evaluate various acquisition opportunities, including licensing or acquiring complementary products, product candidates, intellectual property rights, technologies or businesses. Any potential acquisition may entail numerous risks, including:</w:t>
      </w:r>
    </w:p>
    <w:p>
      <w:pPr>
        <w:spacing w:after="0" w:line="40" w:lineRule="exact"/>
        <w:rPr>
          <w:sz w:val="20"/>
          <w:szCs w:val="20"/>
          <w:color w:val="auto"/>
        </w:rPr>
      </w:pPr>
    </w:p>
    <w:p>
      <w:pPr>
        <w:ind w:left="2000" w:hanging="338"/>
        <w:spacing w:after="0"/>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increased operating expenses and cash requirements;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assumption of additional indebtedness or contingent liabilities;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issuance of our equity securities;</w:t>
      </w:r>
    </w:p>
    <w:p>
      <w:pPr>
        <w:spacing w:after="0" w:line="98" w:lineRule="exact"/>
        <w:rPr>
          <w:rFonts w:ascii="Arial" w:cs="Arial" w:eastAsia="Arial" w:hAnsi="Arial"/>
          <w:sz w:val="14"/>
          <w:szCs w:val="14"/>
          <w:color w:val="auto"/>
        </w:rPr>
      </w:pPr>
    </w:p>
    <w:p>
      <w:pPr>
        <w:ind w:left="2000" w:right="139" w:hanging="338"/>
        <w:spacing w:after="0" w:line="285" w:lineRule="auto"/>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assimilation of operations, intellectual property, products and product candidates of an acquired company, including difficulties associated with integrating new personnel;</w:t>
      </w:r>
    </w:p>
    <w:p>
      <w:pPr>
        <w:spacing w:after="0" w:line="39"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diversion of our management’s attention from our existing programs and initiatives in pursuing such a strategic merger or acquisition;</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retention of key employees, the loss of key personnel and uncertainties in our ability to maintain key business relationships;</w:t>
      </w:r>
    </w:p>
    <w:p>
      <w:pPr>
        <w:spacing w:after="0" w:line="98" w:lineRule="exact"/>
        <w:rPr>
          <w:rFonts w:ascii="Arial" w:cs="Arial" w:eastAsia="Arial" w:hAnsi="Arial"/>
          <w:sz w:val="14"/>
          <w:szCs w:val="14"/>
          <w:color w:val="auto"/>
        </w:rPr>
      </w:pPr>
    </w:p>
    <w:p>
      <w:pPr>
        <w:ind w:left="2000" w:right="399" w:hanging="338"/>
        <w:spacing w:after="0" w:line="285" w:lineRule="auto"/>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risks and uncertainties associated with the other party to such a transaction, including the prospects of that party and their existing products, product candidates and marketing approvals; and</w:t>
      </w:r>
    </w:p>
    <w:p>
      <w:pPr>
        <w:spacing w:after="0" w:line="39" w:lineRule="exact"/>
        <w:rPr>
          <w:rFonts w:ascii="Arial" w:cs="Arial" w:eastAsia="Arial" w:hAnsi="Arial"/>
          <w:sz w:val="14"/>
          <w:szCs w:val="14"/>
          <w:color w:val="auto"/>
        </w:rPr>
      </w:pPr>
    </w:p>
    <w:p>
      <w:pPr>
        <w:ind w:left="2000" w:right="139" w:hanging="338"/>
        <w:spacing w:after="0" w:line="285" w:lineRule="auto"/>
        <w:tabs>
          <w:tab w:leader="none" w:pos="20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inability to generate revenue from acquired product candidates or products sufficient to meet our objectives in undertaking the acquisition or even to offset the associated acquisition and maintenance costs.</w:t>
      </w:r>
    </w:p>
    <w:p>
      <w:pPr>
        <w:spacing w:after="0" w:line="115" w:lineRule="exact"/>
        <w:rPr>
          <w:sz w:val="20"/>
          <w:szCs w:val="20"/>
          <w:color w:val="auto"/>
        </w:rPr>
      </w:pPr>
    </w:p>
    <w:p>
      <w:pPr>
        <w:ind w:left="1220" w:right="179" w:firstLine="353"/>
        <w:spacing w:after="0" w:line="250" w:lineRule="auto"/>
        <w:rPr>
          <w:sz w:val="20"/>
          <w:szCs w:val="20"/>
          <w:color w:val="auto"/>
        </w:rPr>
      </w:pPr>
      <w:r>
        <w:rPr>
          <w:rFonts w:ascii="Arial" w:cs="Arial" w:eastAsia="Arial" w:hAnsi="Arial"/>
          <w:sz w:val="14"/>
          <w:szCs w:val="14"/>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or suppliers.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141" w:lineRule="exact"/>
        <w:rPr>
          <w:sz w:val="20"/>
          <w:szCs w:val="20"/>
          <w:color w:val="auto"/>
        </w:rPr>
      </w:pPr>
    </w:p>
    <w:p>
      <w:pPr>
        <w:ind w:left="1220" w:right="119" w:firstLine="353"/>
        <w:spacing w:after="0" w:line="256" w:lineRule="auto"/>
        <w:rPr>
          <w:sz w:val="20"/>
          <w:szCs w:val="20"/>
          <w:color w:val="auto"/>
        </w:rPr>
      </w:pPr>
      <w:r>
        <w:rPr>
          <w:rFonts w:ascii="Arial" w:cs="Arial" w:eastAsia="Arial" w:hAnsi="Arial"/>
          <w:sz w:val="14"/>
          <w:szCs w:val="14"/>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159"/>
          </w:cols>
          <w:pgMar w:left="300" w:top="415"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899"/>
        <w:spacing w:after="0" w:line="294" w:lineRule="auto"/>
        <w:rPr>
          <w:sz w:val="20"/>
          <w:szCs w:val="20"/>
          <w:color w:val="auto"/>
        </w:rPr>
      </w:pPr>
      <w:r>
        <w:rPr>
          <w:rFonts w:ascii="Arial" w:cs="Arial" w:eastAsia="Arial" w:hAnsi="Arial"/>
          <w:sz w:val="14"/>
          <w:szCs w:val="14"/>
          <w:b w:val="1"/>
          <w:bCs w:val="1"/>
          <w:i w:val="1"/>
          <w:iCs w:val="1"/>
          <w:color w:val="auto"/>
        </w:rPr>
        <w:t>Even if any product candidate receives marketing approval, it may fail to achieve the degree of market acceptance by physicians, patients, third-party payors and others in the medical community necessary for commercial success.</w:t>
      </w:r>
    </w:p>
    <w:p>
      <w:pPr>
        <w:spacing w:after="0" w:line="15" w:lineRule="exact"/>
        <w:rPr>
          <w:sz w:val="20"/>
          <w:szCs w:val="20"/>
          <w:color w:val="auto"/>
        </w:rPr>
      </w:pPr>
    </w:p>
    <w:p>
      <w:pPr>
        <w:ind w:left="1220" w:right="239" w:firstLine="353"/>
        <w:spacing w:after="0" w:line="245" w:lineRule="auto"/>
        <w:rPr>
          <w:sz w:val="20"/>
          <w:szCs w:val="20"/>
          <w:color w:val="auto"/>
        </w:rPr>
      </w:pPr>
      <w:r>
        <w:rPr>
          <w:rFonts w:ascii="Arial" w:cs="Arial" w:eastAsia="Arial" w:hAnsi="Arial"/>
          <w:sz w:val="14"/>
          <w:szCs w:val="14"/>
          <w:color w:val="auto"/>
        </w:rPr>
        <w:t>If any product candidate receives marketing approval, it may nonetheless fail to gain sufficient market acceptance by physicians, patients, third-party payors and others in the medical community. Sales of medical products depend in part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cost-effective as compared with competing treatments. Efforts to educate the medical community and third-party payors on the benefits of our product candidates and any other product candidates we may develop may require significant resources, including management time and financial resources, and may not be successful. If our product candidates and any other product candidates we may develop do not achieve an adequate level of acceptance, we may not generate significant product revenues and we may not become profitable. The degree of market acceptance of our product candidates and any other product candidates we may develop, if approved for commercial sale, will depend on a number of factors, including:</w:t>
      </w:r>
    </w:p>
    <w:p>
      <w:pPr>
        <w:spacing w:after="0" w:line="235" w:lineRule="exact"/>
        <w:rPr>
          <w:sz w:val="20"/>
          <w:szCs w:val="20"/>
          <w:color w:val="auto"/>
        </w:rPr>
      </w:pPr>
    </w:p>
    <w:p>
      <w:pPr>
        <w:ind w:left="2000" w:right="499" w:hanging="338"/>
        <w:spacing w:after="0" w:line="285" w:lineRule="auto"/>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efficacy, safety and potential advantages of our product candidates compared to the advantages and relative risks of alternative treatments;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effectiveness of sales and marketing efforts;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 including any similar generic or biosimilar treatments;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whether the product is designated under physician treatment guidelines as a first-, second- or third-line therapy;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limitations or warnings, including distribution or use restrictions contained in the product’s approved labeling;</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clinical indications for which the product is approved;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convenience and ease of administration compared to alternative treatments;</w:t>
      </w:r>
    </w:p>
    <w:p>
      <w:pPr>
        <w:spacing w:after="0" w:line="98"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willingness of the target patient population to try new therapies and to continue treatment over time and of physicians to prescribe these therapies;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timing of market introduction of competitive products;</w:t>
      </w:r>
    </w:p>
    <w:p>
      <w:pPr>
        <w:spacing w:after="0" w:line="98"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availability of third-party coverage and adequate reimbursement, and patients’ willingness to pay out of pocket for required co-payments or in the absence of third-party coverage or adequate reimbursement;</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restrictions on the use of our products, if approved, together with other medications; and</w:t>
      </w:r>
    </w:p>
    <w:p>
      <w:pPr>
        <w:spacing w:after="0" w:line="98" w:lineRule="exact"/>
        <w:rPr>
          <w:rFonts w:ascii="Arial" w:cs="Arial" w:eastAsia="Arial" w:hAnsi="Arial"/>
          <w:sz w:val="14"/>
          <w:szCs w:val="14"/>
          <w:color w:val="auto"/>
        </w:rPr>
      </w:pPr>
    </w:p>
    <w:p>
      <w:pPr>
        <w:ind w:left="2000" w:right="619" w:hanging="338"/>
        <w:spacing w:after="0" w:line="285" w:lineRule="auto"/>
        <w:tabs>
          <w:tab w:leader="none" w:pos="20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failure by one or more of our product candidates that obtains regulatory approval to achieve market acceptance or commercial success would adversely affect our business prospects.</w:t>
      </w:r>
    </w:p>
    <w:p>
      <w:pPr>
        <w:spacing w:after="0" w:line="204" w:lineRule="exact"/>
        <w:rPr>
          <w:sz w:val="20"/>
          <w:szCs w:val="20"/>
          <w:color w:val="auto"/>
        </w:rPr>
      </w:pPr>
    </w:p>
    <w:p>
      <w:pPr>
        <w:ind w:left="1220" w:right="459"/>
        <w:spacing w:after="0" w:line="294" w:lineRule="auto"/>
        <w:rPr>
          <w:sz w:val="20"/>
          <w:szCs w:val="20"/>
          <w:color w:val="auto"/>
        </w:rPr>
      </w:pPr>
      <w:r>
        <w:rPr>
          <w:rFonts w:ascii="Arial" w:cs="Arial" w:eastAsia="Arial" w:hAnsi="Arial"/>
          <w:sz w:val="14"/>
          <w:szCs w:val="14"/>
          <w:b w:val="1"/>
          <w:bCs w:val="1"/>
          <w:i w:val="1"/>
          <w:iCs w:val="1"/>
          <w:color w:val="auto"/>
        </w:rPr>
        <w:t>If the market opportunities for any product candidates we develop are smaller than we believe they are, our revenue may be adversely affected, and our business may suffer.</w:t>
      </w:r>
    </w:p>
    <w:p>
      <w:pPr>
        <w:spacing w:after="0" w:line="15" w:lineRule="exact"/>
        <w:rPr>
          <w:sz w:val="20"/>
          <w:szCs w:val="20"/>
          <w:color w:val="auto"/>
        </w:rPr>
      </w:pPr>
    </w:p>
    <w:p>
      <w:pPr>
        <w:ind w:left="1220" w:right="139" w:firstLine="353"/>
        <w:spacing w:after="0" w:line="245" w:lineRule="auto"/>
        <w:rPr>
          <w:sz w:val="20"/>
          <w:szCs w:val="20"/>
          <w:color w:val="auto"/>
        </w:rPr>
      </w:pPr>
      <w:r>
        <w:rPr>
          <w:rFonts w:ascii="Arial" w:cs="Arial" w:eastAsia="Arial" w:hAnsi="Arial"/>
          <w:sz w:val="14"/>
          <w:szCs w:val="14"/>
          <w:color w:val="auto"/>
        </w:rPr>
        <w:t>We focus our research and product development on treatments for bleeding disorders. Given the small number of patients who have certain of the diseases that we are targeting, it is critical to our ability to grow and become profitable that we continue to successfully identify patients with these diseases. Our projections of both the number of people who have these diseases, as well as the subset of people with these diseases who have the potential to benefit from treatment with any product candidates we may develop, are based on our beliefs and estimates. These estimates have been derived from a variety of sources, including scientific literature, surveys of clinics, patient foundations or market research, and “360” natural history studies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 Additionally, if the actual market for any product candidates we may develop is smaller than we estimate, our revenues, if any, may be limited and it may be more difficult for us to achieve or maintain profitability.</w:t>
      </w:r>
    </w:p>
    <w:p>
      <w:pPr>
        <w:spacing w:after="0" w:line="307"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Even with high penetration rates and premium pricing typical of orphan drugs, the revenue potential for sutacimig for the treatment of Glanzmann thrombasthenia and Factor VII deficiency may be limited due to the small patient populations. The pricing and reimbursement of any product candidates we may develop, if approved, is uncertain, and it may not be adequate to support commercial infrastructure. If we are unable to obtain adequate levels of pricing or reimbursement, our ability to successfully market and sell product candidates will be adversely affected.</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159"/>
          </w:cols>
          <w:pgMar w:left="300" w:top="415"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jc w:val="both"/>
        <w:ind w:left="1220" w:right="639"/>
        <w:spacing w:after="0" w:line="268" w:lineRule="auto"/>
        <w:rPr>
          <w:sz w:val="20"/>
          <w:szCs w:val="20"/>
          <w:color w:val="auto"/>
        </w:rPr>
      </w:pPr>
      <w:r>
        <w:rPr>
          <w:rFonts w:ascii="Arial" w:cs="Arial" w:eastAsia="Arial" w:hAnsi="Arial"/>
          <w:sz w:val="14"/>
          <w:szCs w:val="14"/>
          <w:b w:val="1"/>
          <w:bCs w:val="1"/>
          <w:i w:val="1"/>
          <w:iCs w:val="1"/>
          <w:color w:val="auto"/>
        </w:rPr>
        <w:t>If we are unable to establish sales, marketing and distribution capabilities or enter into sales, marketing and distribution agreements with third parties, we may not be successful in commercializing any product candidates if and when they are approved.</w:t>
      </w:r>
    </w:p>
    <w:p>
      <w:pPr>
        <w:spacing w:after="0" w:line="32" w:lineRule="exact"/>
        <w:rPr>
          <w:sz w:val="20"/>
          <w:szCs w:val="20"/>
          <w:color w:val="auto"/>
        </w:rPr>
      </w:pPr>
    </w:p>
    <w:p>
      <w:pPr>
        <w:ind w:left="1220" w:right="279" w:firstLine="353"/>
        <w:spacing w:after="0" w:line="263" w:lineRule="auto"/>
        <w:rPr>
          <w:sz w:val="20"/>
          <w:szCs w:val="20"/>
          <w:color w:val="auto"/>
        </w:rPr>
      </w:pPr>
      <w:r>
        <w:rPr>
          <w:rFonts w:ascii="Arial" w:cs="Arial" w:eastAsia="Arial" w:hAnsi="Arial"/>
          <w:sz w:val="14"/>
          <w:szCs w:val="14"/>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31" w:lineRule="exact"/>
        <w:rPr>
          <w:sz w:val="20"/>
          <w:szCs w:val="20"/>
          <w:color w:val="auto"/>
        </w:rPr>
      </w:pPr>
    </w:p>
    <w:p>
      <w:pPr>
        <w:jc w:val="both"/>
        <w:ind w:left="1220" w:right="579" w:firstLine="353"/>
        <w:spacing w:after="0" w:line="263" w:lineRule="auto"/>
        <w:rPr>
          <w:sz w:val="20"/>
          <w:szCs w:val="20"/>
          <w:color w:val="auto"/>
        </w:rPr>
      </w:pPr>
      <w:r>
        <w:rPr>
          <w:rFonts w:ascii="Arial" w:cs="Arial" w:eastAsia="Arial" w:hAnsi="Arial"/>
          <w:sz w:val="14"/>
          <w:szCs w:val="14"/>
          <w:color w:val="auto"/>
        </w:rPr>
        <w:t>In the future, we expect to build a sales and marketing infrastructure to market our product candidates and any other product candidates we may develop in the United States, Europe and potentially other jurisdictions, if and when approved by the respective regulatory authority.</w:t>
      </w:r>
    </w:p>
    <w:p>
      <w:pPr>
        <w:spacing w:after="0" w:line="131"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Factors that may inhibit our efforts to commercialize our products on our own include:</w:t>
      </w:r>
    </w:p>
    <w:p>
      <w:pPr>
        <w:spacing w:after="0" w:line="99" w:lineRule="exact"/>
        <w:rPr>
          <w:sz w:val="20"/>
          <w:szCs w:val="20"/>
          <w:color w:val="auto"/>
        </w:rPr>
      </w:pPr>
    </w:p>
    <w:p>
      <w:pPr>
        <w:ind w:left="2000" w:right="199" w:hanging="338"/>
        <w:spacing w:after="0" w:line="285" w:lineRule="auto"/>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inability to recruit, train and retain adequate numbers of effective sales, marketing, coverage or reimbursement, customer service, medical affairs and other support personnel;</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inability of sales personnel to educate adequate numbers of physicians on the benefits of any future products;</w:t>
      </w:r>
    </w:p>
    <w:p>
      <w:pPr>
        <w:spacing w:after="0" w:line="98" w:lineRule="exact"/>
        <w:rPr>
          <w:rFonts w:ascii="Arial" w:cs="Arial" w:eastAsia="Arial" w:hAnsi="Arial"/>
          <w:sz w:val="14"/>
          <w:szCs w:val="14"/>
          <w:color w:val="auto"/>
        </w:rPr>
      </w:pPr>
    </w:p>
    <w:p>
      <w:pPr>
        <w:ind w:left="2000" w:right="619" w:hanging="338"/>
        <w:spacing w:after="0" w:line="285" w:lineRule="auto"/>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inability of reimbursement professionals to negotiate arrangements for formulary access, reimbursement and other acceptance by payors;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inability to price our products at a sufficient price point to ensure an adequate and attractive level of profitability;</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restricted or closed distribution channels that make it difficult to distribute our products to segments of the patient population;</w:t>
      </w:r>
    </w:p>
    <w:p>
      <w:pPr>
        <w:spacing w:after="0" w:line="98" w:lineRule="exact"/>
        <w:rPr>
          <w:rFonts w:ascii="Arial" w:cs="Arial" w:eastAsia="Arial" w:hAnsi="Arial"/>
          <w:sz w:val="14"/>
          <w:szCs w:val="14"/>
          <w:color w:val="auto"/>
        </w:rPr>
      </w:pPr>
    </w:p>
    <w:p>
      <w:pPr>
        <w:ind w:left="2000" w:right="139" w:hanging="338"/>
        <w:spacing w:after="0" w:line="285" w:lineRule="auto"/>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 and</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sales and marketing organization.</w:t>
      </w:r>
    </w:p>
    <w:p>
      <w:pPr>
        <w:spacing w:after="0" w:line="174"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any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any product candidates.</w:t>
      </w:r>
    </w:p>
    <w:p>
      <w:pPr>
        <w:spacing w:after="0" w:line="229" w:lineRule="exact"/>
        <w:rPr>
          <w:sz w:val="20"/>
          <w:szCs w:val="20"/>
          <w:color w:val="auto"/>
        </w:rPr>
      </w:pPr>
    </w:p>
    <w:p>
      <w:pPr>
        <w:ind w:left="1220" w:right="459"/>
        <w:spacing w:after="0" w:line="294" w:lineRule="auto"/>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15"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The development and commercialization of new drug products is highly competitive. We face competition with respect to our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the same disease indications we are pursuing.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Any product candidates that we successfully develop and commercialize will compete with existing products and new products that may become available in the future.</w:t>
      </w:r>
    </w:p>
    <w:p>
      <w:pPr>
        <w:spacing w:after="0" w:line="25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159"/>
          </w:cols>
          <w:pgMar w:left="300" w:top="415"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239" w:firstLine="353"/>
        <w:spacing w:after="0" w:line="256" w:lineRule="auto"/>
        <w:rPr>
          <w:sz w:val="20"/>
          <w:szCs w:val="20"/>
          <w:color w:val="auto"/>
        </w:rPr>
      </w:pPr>
      <w:r>
        <w:rPr>
          <w:rFonts w:ascii="Arial" w:cs="Arial" w:eastAsia="Arial" w:hAnsi="Arial"/>
          <w:sz w:val="14"/>
          <w:szCs w:val="14"/>
          <w:color w:val="auto"/>
        </w:rPr>
        <w:t>There are currently no subcutaneous prophylactic therapies for Glanzmann thrombasthenia or Factor VII deficiency that are in development or approved. However, companies could develop new therapies or repurpose existing therapies for Glanzmann thrombasthenia or Factor VII deficiency, such as emicizumab (Hemlibra), which was developed for hemophilia A, but could potentially be studied in other bleeding disorders, potentially including our target indications.</w:t>
      </w:r>
    </w:p>
    <w:p>
      <w:pPr>
        <w:spacing w:after="0" w:line="135"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color w:val="auto"/>
        </w:rPr>
        <w:t>For Von Willebrand Disease, the competitive landscape includes currently available therapies and products in development. The current standard of care includes desmopressin and VWF replacement products, including both plasma-derived products (Humate-P, Wilate, Alphanate) and recombinant VWF (Vonvendi). These products have established positions in the market and physician familiarity. In addition, Star Therapeutics Inc. is currently developing VGA-039, an investigational monoclonal antibody that inhibits protein S, which is currently in Phase 3 clinical development for Von Willebrand Disease.</w:t>
      </w:r>
    </w:p>
    <w:p>
      <w:pPr>
        <w:spacing w:after="0" w:line="139"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and/or biosimilar products. If any product candidates achieve marketing approval, we expect that they would be priced at a significant premium over competitive generic or biosimilar products.</w:t>
      </w:r>
    </w:p>
    <w:p>
      <w:pPr>
        <w:spacing w:after="0" w:line="140" w:lineRule="exact"/>
        <w:rPr>
          <w:sz w:val="20"/>
          <w:szCs w:val="20"/>
          <w:color w:val="auto"/>
        </w:rPr>
      </w:pPr>
    </w:p>
    <w:p>
      <w:pPr>
        <w:ind w:left="1220" w:right="279" w:firstLine="353"/>
        <w:spacing w:after="0" w:line="246" w:lineRule="auto"/>
        <w:rPr>
          <w:sz w:val="20"/>
          <w:szCs w:val="20"/>
          <w:color w:val="auto"/>
        </w:rPr>
      </w:pPr>
      <w:r>
        <w:rPr>
          <w:rFonts w:ascii="Arial" w:cs="Arial" w:eastAsia="Arial" w:hAnsi="Arial"/>
          <w:sz w:val="14"/>
          <w:szCs w:val="14"/>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marketing approvals and marketing approved products than we do. If we successfully obtain approval for any product candidate, we will face competition based on many different factors, including the safety, tolerability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tolerable or convenient, safer, less expensive or marketed and sold more effectively than any products we may develop. Competing products may render any product candidates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spacing w:after="0" w:line="146"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color w:val="auto"/>
        </w:rPr>
        <w:t>Mergers and acquisitions in the pharmaceutical, biopharmaceutical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28" w:lineRule="exact"/>
        <w:rPr>
          <w:sz w:val="20"/>
          <w:szCs w:val="20"/>
          <w:color w:val="auto"/>
        </w:rPr>
      </w:pPr>
    </w:p>
    <w:p>
      <w:pPr>
        <w:ind w:left="1220" w:right="299"/>
        <w:spacing w:after="0" w:line="294" w:lineRule="auto"/>
        <w:rPr>
          <w:sz w:val="20"/>
          <w:szCs w:val="20"/>
          <w:color w:val="auto"/>
        </w:rPr>
      </w:pPr>
      <w:r>
        <w:rPr>
          <w:rFonts w:ascii="Arial" w:cs="Arial" w:eastAsia="Arial" w:hAnsi="Arial"/>
          <w:sz w:val="14"/>
          <w:szCs w:val="14"/>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5" w:lineRule="exact"/>
        <w:rPr>
          <w:sz w:val="20"/>
          <w:szCs w:val="20"/>
          <w:color w:val="auto"/>
        </w:rPr>
      </w:pPr>
    </w:p>
    <w:p>
      <w:pPr>
        <w:ind w:left="1220" w:right="179" w:firstLine="353"/>
        <w:spacing w:after="0" w:line="247" w:lineRule="auto"/>
        <w:rPr>
          <w:sz w:val="20"/>
          <w:szCs w:val="20"/>
          <w:color w:val="auto"/>
        </w:rPr>
      </w:pPr>
      <w:r>
        <w:rPr>
          <w:rFonts w:ascii="Arial" w:cs="Arial" w:eastAsia="Arial" w:hAnsi="Arial"/>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obtain marketing approval.</w:t>
      </w:r>
    </w:p>
    <w:p>
      <w:pPr>
        <w:spacing w:after="0" w:line="143" w:lineRule="exact"/>
        <w:rPr>
          <w:sz w:val="20"/>
          <w:szCs w:val="20"/>
          <w:color w:val="auto"/>
        </w:rPr>
      </w:pPr>
    </w:p>
    <w:p>
      <w:pPr>
        <w:ind w:left="1220" w:right="259" w:firstLine="353"/>
        <w:spacing w:after="0" w:line="249" w:lineRule="auto"/>
        <w:rPr>
          <w:sz w:val="20"/>
          <w:szCs w:val="20"/>
          <w:color w:val="auto"/>
        </w:rPr>
      </w:pPr>
      <w:r>
        <w:rPr>
          <w:rFonts w:ascii="Arial" w:cs="Arial" w:eastAsia="Arial" w:hAnsi="Arial"/>
          <w:sz w:val="14"/>
          <w:szCs w:val="14"/>
          <w:color w:val="auto"/>
        </w:rPr>
        <w:t>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other third- party payors, such as private health insurers and health maintenance organizations, decide which medications they will pay for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w:t>
      </w: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159"/>
          </w:cols>
          <w:pgMar w:left="300" w:top="41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359"/>
        <w:spacing w:after="0" w:line="247" w:lineRule="auto"/>
        <w:rPr>
          <w:sz w:val="20"/>
          <w:szCs w:val="20"/>
          <w:color w:val="auto"/>
        </w:rPr>
      </w:pPr>
      <w:r>
        <w:rPr>
          <w:rFonts w:ascii="Arial" w:cs="Arial" w:eastAsia="Arial" w:hAnsi="Arial"/>
          <w:sz w:val="14"/>
          <w:szCs w:val="14"/>
          <w:color w:val="auto"/>
        </w:rPr>
        <w:t>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There can be no assurance that any product candidates, even if they are approved for sale in the United States, Europe or in other jurisdictions, will be considered medically reasonable and necessary for a specific indication or cost-effective by third-party payors. We may be required to conduct expensive pharmacoeconomic studies to justify coverage and reimbursement or the level of reimbursement relative to other therapies. If coverage and adequate reimbursement are not available, we may not be able to successfully commercialize any product candidate for which we obtain marketing approval.</w:t>
      </w:r>
    </w:p>
    <w:p>
      <w:pPr>
        <w:spacing w:after="0" w:line="143" w:lineRule="exact"/>
        <w:rPr>
          <w:sz w:val="20"/>
          <w:szCs w:val="20"/>
          <w:color w:val="auto"/>
        </w:rPr>
      </w:pPr>
    </w:p>
    <w:p>
      <w:pPr>
        <w:ind w:left="1220" w:right="319" w:firstLine="353"/>
        <w:spacing w:after="0" w:line="245" w:lineRule="auto"/>
        <w:rPr>
          <w:sz w:val="20"/>
          <w:szCs w:val="20"/>
          <w:color w:val="auto"/>
        </w:rPr>
      </w:pPr>
      <w:r>
        <w:rPr>
          <w:rFonts w:ascii="Arial" w:cs="Arial" w:eastAsia="Arial" w:hAnsi="Arial"/>
          <w:sz w:val="14"/>
          <w:szCs w:val="14"/>
          <w:color w:val="auto"/>
        </w:rPr>
        <w:t>There may be significant delays in obtaining coverage and reimbursement for newly approved drugs, and coverage may be more limited than the purposes for which the drug is approved by the FDA, European Commission or similar regulatory authorities in other jurisdictions.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Further, no uniform policy for coverage and reimbursement exists in the United States. Third-party payors often rely upon Medicare coverage policy and payment limitations in setting their own reimbursement policies, but also have their own methods and processes apart from Medicare determinations. As a result, obtaining and maintaining coverage and adequate reimbursement is often time-consuming and costly.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231" w:lineRule="exact"/>
        <w:rPr>
          <w:sz w:val="20"/>
          <w:szCs w:val="20"/>
          <w:color w:val="auto"/>
        </w:rPr>
      </w:pPr>
    </w:p>
    <w:p>
      <w:pPr>
        <w:ind w:left="1220" w:right="139"/>
        <w:spacing w:after="0" w:line="268" w:lineRule="auto"/>
        <w:rPr>
          <w:sz w:val="20"/>
          <w:szCs w:val="20"/>
          <w:color w:val="auto"/>
        </w:rPr>
      </w:pPr>
      <w:r>
        <w:rPr>
          <w:rFonts w:ascii="Arial" w:cs="Arial" w:eastAsia="Arial" w:hAnsi="Arial"/>
          <w:sz w:val="14"/>
          <w:szCs w:val="14"/>
          <w:b w:val="1"/>
          <w:bCs w:val="1"/>
          <w:i w:val="1"/>
          <w:iCs w:val="1"/>
          <w:color w:val="auto"/>
        </w:rPr>
        <w:t>Our future growth depends, in part, on our ability to penetrate markets outside the United States and the European Union, where we would be subject to additional regulatory burdens and other risks and uncertainties that, if they materialize, could harm our business.</w:t>
      </w:r>
    </w:p>
    <w:p>
      <w:pPr>
        <w:spacing w:after="0" w:line="32"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Our future profitability will depend, in part, on our ability to commercialize our product candidates and any other product candidates we may develop in markets outside of the United States and the European Union. We are not permitted to market or promote any product candidate before we receive regulatory approval from applicable regulatory authorities in foreign markets, and we may never receive such regulatory approvals for any product candidates. If we commercialize our product candidates and any other product candidates we may develop in foreign markets, we will be subject to additional risks and uncertainties, including:</w:t>
      </w:r>
    </w:p>
    <w:p>
      <w:pPr>
        <w:spacing w:after="0" w:line="64" w:lineRule="exact"/>
        <w:rPr>
          <w:sz w:val="20"/>
          <w:szCs w:val="20"/>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economic weakness, including inflation, or political instability in particular economies and markets;</w:t>
      </w:r>
    </w:p>
    <w:p>
      <w:pPr>
        <w:spacing w:after="0" w:line="98"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burden of complying with complex and changing foreign regulatory, tax, accounting and legal requirements, many of which vary between countries;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different medical practices and customs in foreign countries affecting acceptance in the marketplace;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tariffs and trade barriers, as well as other governmental controls and trade restrictions;</w:t>
      </w:r>
    </w:p>
    <w:p>
      <w:pPr>
        <w:spacing w:after="0" w:line="98" w:lineRule="exact"/>
        <w:rPr>
          <w:rFonts w:ascii="Arial" w:cs="Arial" w:eastAsia="Arial" w:hAnsi="Arial"/>
          <w:sz w:val="14"/>
          <w:szCs w:val="14"/>
          <w:color w:val="auto"/>
        </w:rPr>
      </w:pPr>
    </w:p>
    <w:p>
      <w:pPr>
        <w:ind w:left="2000" w:right="379" w:hanging="338"/>
        <w:spacing w:after="0" w:line="285" w:lineRule="auto"/>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other trade protection measures, import or export licensing requirements or other restrictive actions by governments in the jurisdictions in which we operate or plan to operate;</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longer accounts receivable collection times;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longer lead times for shipping;</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compliance with tax, employment, immigration and labor laws for employees living or traveling abroad;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common;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language barriers for technical training;</w:t>
      </w:r>
    </w:p>
    <w:p>
      <w:pPr>
        <w:spacing w:after="0" w:line="98"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reduced protection of intellectual property rights in some foreign countries, and related prevalence of generic alternatives to therapeutics;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foreign currency exchange rate fluctuations and currency controls;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differing foreign reimbursement landscapes;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uncertain and potentially inadequate reimbursement of our products;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interpretation of contractual provisions governed by foreign laws in the event of a contract dispute.</w:t>
      </w:r>
    </w:p>
    <w:p>
      <w:pPr>
        <w:spacing w:after="0" w:line="174"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If risks related to any of these uncertainties materialize, it could have a material adverse effect on our business.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159"/>
          </w:cols>
          <w:pgMar w:left="300" w:top="415"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339"/>
        <w:spacing w:after="0" w:line="294" w:lineRule="auto"/>
        <w:rPr>
          <w:sz w:val="20"/>
          <w:szCs w:val="20"/>
          <w:color w:val="auto"/>
        </w:rPr>
      </w:pPr>
      <w:r>
        <w:rPr>
          <w:rFonts w:ascii="Arial" w:cs="Arial" w:eastAsia="Arial" w:hAnsi="Arial"/>
          <w:sz w:val="14"/>
          <w:szCs w:val="14"/>
          <w:b w:val="1"/>
          <w:bCs w:val="1"/>
          <w:i w:val="1"/>
          <w:iCs w:val="1"/>
          <w:color w:val="auto"/>
        </w:rPr>
        <w:t>Clinical trial and product liability lawsuits against us could divert our resources, could cause us to incur substantial liabilities and could limit commercialization of any products that we may develop.</w:t>
      </w:r>
    </w:p>
    <w:p>
      <w:pPr>
        <w:spacing w:after="0" w:line="15"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We face an inherent risk of clinical trial and product liability exposure related to the testing of our product candidates and any other product candidates we may develop in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and any other product candidates or products we may develop caused injuries, we will incur substantial liabilities. Even a successful defense would require significant financial and management resources. Regardless of merit or eventual outcome, liability claims may result in:</w:t>
      </w:r>
    </w:p>
    <w:p>
      <w:pPr>
        <w:spacing w:after="0" w:line="65" w:lineRule="exact"/>
        <w:rPr>
          <w:sz w:val="20"/>
          <w:szCs w:val="20"/>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decreased demand for our product candidates and any other product candidates or products that we may develop;</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significant costs to defend any related litigation;</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 of revenue;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reduced resources of our management to pursue our business strategy;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inability to commercialize any products that we may develop.</w:t>
      </w:r>
    </w:p>
    <w:p>
      <w:pPr>
        <w:spacing w:after="0" w:line="174"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Although we currently hold clinical trial liability insurance coverage in amounts we believe to be adequate, the coverage limits may be inadequate to cover all liabilities we may incur, and we may need to increase our insurance coverage as we expand our clinical trials or if we commence commercialization of any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29" w:lineRule="exact"/>
        <w:rPr>
          <w:sz w:val="20"/>
          <w:szCs w:val="20"/>
          <w:color w:val="auto"/>
        </w:rPr>
      </w:pPr>
    </w:p>
    <w:p>
      <w:pPr>
        <w:ind w:left="1220" w:right="259"/>
        <w:spacing w:after="0" w:line="268" w:lineRule="auto"/>
        <w:rPr>
          <w:sz w:val="20"/>
          <w:szCs w:val="20"/>
          <w:color w:val="auto"/>
        </w:rPr>
      </w:pPr>
      <w:r>
        <w:rPr>
          <w:rFonts w:ascii="Arial" w:cs="Arial" w:eastAsia="Arial" w:hAnsi="Arial"/>
          <w:sz w:val="14"/>
          <w:szCs w:val="14"/>
          <w:b w:val="1"/>
          <w:bCs w:val="1"/>
          <w:i w:val="1"/>
          <w:iCs w:val="1"/>
          <w:color w:val="auto"/>
        </w:rPr>
        <w:t>If any product candidate receives marketing approval, we will be required to report to regulatory authorities if the product causes or contributes to adverse medical events, and any failure to do so would result in sanctions that would materially harm our business.</w:t>
      </w:r>
    </w:p>
    <w:p>
      <w:pPr>
        <w:spacing w:after="0" w:line="32"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If we are successful in commercializing any product candidate, the FDA and foreign regulatory authorities would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within the prescribed timeframe. If we fail to comply with such reporting obligations, the FDA or a foreign regulatory authority could take action, including criminal prosecution, the imposition of civil monetary penalties, seizure of our products or delay in approval or clearance of future products.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90" w:lineRule="exact"/>
        <w:rPr>
          <w:sz w:val="20"/>
          <w:szCs w:val="20"/>
          <w:color w:val="auto"/>
        </w:rPr>
      </w:pPr>
    </w:p>
    <w:p>
      <w:pPr>
        <w:ind w:left="1220" w:right="399"/>
        <w:spacing w:after="0" w:line="294"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5" w:lineRule="exact"/>
        <w:rPr>
          <w:sz w:val="20"/>
          <w:szCs w:val="20"/>
          <w:color w:val="auto"/>
        </w:rPr>
      </w:pPr>
    </w:p>
    <w:p>
      <w:pPr>
        <w:jc w:val="both"/>
        <w:ind w:left="1220" w:right="299" w:firstLine="353"/>
        <w:spacing w:after="0" w:line="263" w:lineRule="auto"/>
        <w:rPr>
          <w:sz w:val="20"/>
          <w:szCs w:val="20"/>
          <w:color w:val="auto"/>
        </w:rPr>
      </w:pPr>
      <w:r>
        <w:rPr>
          <w:rFonts w:ascii="Arial" w:cs="Arial" w:eastAsia="Arial" w:hAnsi="Arial"/>
          <w:sz w:val="14"/>
          <w:szCs w:val="14"/>
          <w:color w:val="auto"/>
        </w:rPr>
        <w:t>We currently rely on third-party clinical research organizations, or CROs, to conduct our planned and ongoing clinical trials. We do not plan to independently conduct clinical trials of our product candidates. We expect to continue to rely on third parties, such as CROs, clinical data management organizations, medical institutions and clinical investigators, to conduct our clinical trials.</w:t>
      </w:r>
    </w:p>
    <w:p>
      <w:pPr>
        <w:spacing w:after="0" w:line="131"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clinical trials.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have to negotiate budgets and contracts with CROs and clinical trial sites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159"/>
          </w:cols>
          <w:pgMar w:left="300" w:top="415"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spacing w:after="0" w:line="256" w:lineRule="auto"/>
        <w:rPr>
          <w:sz w:val="20"/>
          <w:szCs w:val="20"/>
          <w:color w:val="auto"/>
        </w:rPr>
      </w:pPr>
      <w:r>
        <w:rPr>
          <w:rFonts w:ascii="Arial" w:cs="Arial" w:eastAsia="Arial" w:hAnsi="Arial"/>
          <w:sz w:val="14"/>
          <w:szCs w:val="14"/>
          <w:color w:val="auto"/>
        </w:rPr>
        <w:t>and we may not be able to do so on favorable terms, which may result in delays to our development timelines and increased costs. If we need to enter into alternative arrangements with, or replace or add any such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35"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In addition, while our reliance on these third parties for research and development activities will reduce our control over these activities, it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failure or the failure of third parties to comply with the applicable protocol, legal and regulatory requirements and scientific standards can result in rejection of our clinical trial data or other sanctions. Additionally, if we or our third-party contractors fail to comply with applicable GCPs, the clinical data generated in our clinical trials may be deemed unreliable and the FDA may require us to perform additional clinical trials before approving our product candidates, which would delay the regulatory approval process. We cannot be certain that, upon inspection, the FDA will determine that any of our clinical trials comply with GCPs.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49" w:lineRule="exact"/>
        <w:rPr>
          <w:sz w:val="20"/>
          <w:szCs w:val="20"/>
          <w:color w:val="auto"/>
        </w:rPr>
      </w:pPr>
    </w:p>
    <w:p>
      <w:pPr>
        <w:jc w:val="both"/>
        <w:ind w:left="1220" w:right="319" w:firstLine="353"/>
        <w:spacing w:after="0" w:line="263" w:lineRule="auto"/>
        <w:rPr>
          <w:sz w:val="20"/>
          <w:szCs w:val="20"/>
          <w:color w:val="auto"/>
        </w:rPr>
      </w:pPr>
      <w:r>
        <w:rPr>
          <w:rFonts w:ascii="Arial" w:cs="Arial" w:eastAsia="Arial" w:hAnsi="Arial"/>
          <w:sz w:val="14"/>
          <w:szCs w:val="14"/>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31" w:lineRule="exact"/>
        <w:rPr>
          <w:sz w:val="20"/>
          <w:szCs w:val="20"/>
          <w:color w:val="auto"/>
        </w:rPr>
      </w:pPr>
    </w:p>
    <w:p>
      <w:pPr>
        <w:ind w:left="1220" w:right="219" w:firstLine="353"/>
        <w:spacing w:after="0" w:line="256" w:lineRule="auto"/>
        <w:rPr>
          <w:sz w:val="20"/>
          <w:szCs w:val="20"/>
          <w:color w:val="auto"/>
        </w:rPr>
      </w:pPr>
      <w:r>
        <w:rPr>
          <w:rFonts w:ascii="Arial" w:cs="Arial" w:eastAsia="Arial" w:hAnsi="Arial"/>
          <w:sz w:val="14"/>
          <w:szCs w:val="14"/>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and will not be able to, or may be delayed in our efforts to, successfully develop and commercialize any product candidates.</w:t>
      </w:r>
    </w:p>
    <w:p>
      <w:pPr>
        <w:spacing w:after="0" w:line="224" w:lineRule="exact"/>
        <w:rPr>
          <w:sz w:val="20"/>
          <w:szCs w:val="20"/>
          <w:color w:val="auto"/>
        </w:rPr>
      </w:pPr>
    </w:p>
    <w:p>
      <w:pPr>
        <w:ind w:left="1220" w:right="99"/>
        <w:spacing w:after="0" w:line="294" w:lineRule="auto"/>
        <w:rPr>
          <w:sz w:val="20"/>
          <w:szCs w:val="20"/>
          <w:color w:val="auto"/>
        </w:rPr>
      </w:pPr>
      <w:r>
        <w:rPr>
          <w:rFonts w:ascii="Arial" w:cs="Arial" w:eastAsia="Arial" w:hAnsi="Arial"/>
          <w:sz w:val="14"/>
          <w:szCs w:val="14"/>
          <w:b w:val="1"/>
          <w:bCs w:val="1"/>
          <w:i w:val="1"/>
          <w:iCs w:val="1"/>
          <w:color w:val="auto"/>
        </w:rPr>
        <w:t>Manufacturing biologics is complex, and we may experience manufacturing problems that result in delays in our development or future commercialization programs.</w:t>
      </w:r>
    </w:p>
    <w:p>
      <w:pPr>
        <w:spacing w:after="0" w:line="15" w:lineRule="exact"/>
        <w:rPr>
          <w:sz w:val="20"/>
          <w:szCs w:val="20"/>
          <w:color w:val="auto"/>
        </w:rPr>
      </w:pPr>
    </w:p>
    <w:p>
      <w:pPr>
        <w:ind w:left="1220" w:right="199" w:firstLine="353"/>
        <w:spacing w:after="0" w:line="252" w:lineRule="auto"/>
        <w:rPr>
          <w:sz w:val="20"/>
          <w:szCs w:val="20"/>
          <w:color w:val="auto"/>
        </w:rPr>
      </w:pPr>
      <w:r>
        <w:rPr>
          <w:rFonts w:ascii="Arial" w:cs="Arial" w:eastAsia="Arial" w:hAnsi="Arial"/>
          <w:sz w:val="14"/>
          <w:szCs w:val="14"/>
          <w:color w:val="auto"/>
        </w:rPr>
        <w:t>The manufacturing of biologics is complex and difficult and we, or our CMOs, may experience production issues or interruptions for sutacimig, HMB-002 or any other product candidate we may develop, including raw material or starting material variability in terms of quality, cell line viability, productivity or stability issues, shortages of any kind, shipping, distribution, storage and supply chain failures, growth media contamination, equipment malfunctions, operator errors, facility contamination, labor problems, natural disasters, disruption in utility services, terrorist activities, or acts of god that are beyond our control or the control of our third party manufacturers.</w:t>
      </w:r>
    </w:p>
    <w:p>
      <w:pPr>
        <w:spacing w:after="0" w:line="139"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Given the nature of biologics manufacturing, there is a risk of contamination during manufacturing. Any contamination could materially harm our or our third party manufacturers’ ability to produce sutacimig, HMB-002 or any other product candidate we may develop on schedule and could harm our results of operations and cause reputational damage. Some of the raw materials that we require in our manufacturing process are derived from biologic sources. Such raw materials may be difficult to procure and may be subject to contamination or recall.</w:t>
      </w:r>
    </w:p>
    <w:p>
      <w:pPr>
        <w:spacing w:after="0" w:line="139"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Problems with the manufacturing process, even minor deviations from the normal process, could result in product defects or manufacturing failures that result in lot failures, product recalls, product liability claims, insufficient inventory or potentially delay progression of our preclinical or clinical development of sutacimig, HMB-002 and any other product candidate we may develop. If we successfully develop sutacimig, HMB-002 and any other product candidate, we may encounter problems achieving adequate quantities and quality that meet FDA, EMA or other comparable applicable foreign standards or specifications with consistent and acceptable production yields and costs. The ability to scale our manufacturing through manufacturers of drug substance for our product candidates and for finished drug product and maintain the manufacturing process at the same levels of quality and efficiency is yet to be tested. If we or our third party manufacturers are unable to scale our manufacturing at the same levels of quality and efficiency, we may not be able to supply the required number of doses for clinical trials or commercial supply. A material shortage, contamination or manufacturing failure in the manufacture of sutacimig, HMB-002 and any other product candidate we may develop or other adverse impact or disruption in the commercial manufacturing or the production of clinical material could materially harm our development timelines and our business, financial condition, results of operations and prospects.</w:t>
      </w: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159"/>
          </w:cols>
          <w:pgMar w:left="300" w:top="415"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139"/>
        <w:spacing w:after="0" w:line="255" w:lineRule="auto"/>
        <w:rPr>
          <w:sz w:val="20"/>
          <w:szCs w:val="20"/>
          <w:color w:val="auto"/>
        </w:rPr>
      </w:pPr>
      <w:r>
        <w:rPr>
          <w:rFonts w:ascii="Arial" w:cs="Arial" w:eastAsia="Arial" w:hAnsi="Arial"/>
          <w:sz w:val="14"/>
          <w:szCs w:val="14"/>
          <w:b w:val="1"/>
          <w:bCs w:val="1"/>
          <w:i w:val="1"/>
          <w:iCs w:val="1"/>
          <w:color w:val="auto"/>
        </w:rPr>
        <w:t>We contract with third parties for the manufacture of our product candidates, plan to contract with third parties for any other product candidates we may develop for preclinical and clinical testing and expect to continue to do so for commercialization. This reliance on third parties entails risks, including that such third parties may not be able to comply with applicable regulatory requirements. Any performance failure on the part of our existing or future manufacturers could delay clinical development or marketing approval.</w:t>
      </w:r>
    </w:p>
    <w:p>
      <w:pPr>
        <w:spacing w:after="0" w:line="41" w:lineRule="exact"/>
        <w:rPr>
          <w:sz w:val="20"/>
          <w:szCs w:val="20"/>
          <w:color w:val="auto"/>
        </w:rPr>
      </w:pPr>
    </w:p>
    <w:p>
      <w:pPr>
        <w:ind w:left="1220" w:right="119" w:firstLine="353"/>
        <w:spacing w:after="0" w:line="256" w:lineRule="auto"/>
        <w:rPr>
          <w:sz w:val="20"/>
          <w:szCs w:val="20"/>
          <w:color w:val="auto"/>
        </w:rPr>
      </w:pPr>
      <w:r>
        <w:rPr>
          <w:rFonts w:ascii="Arial" w:cs="Arial" w:eastAsia="Arial" w:hAnsi="Arial"/>
          <w:sz w:val="14"/>
          <w:szCs w:val="14"/>
          <w:color w:val="auto"/>
        </w:rPr>
        <w:t>We do not have any manufacturing facilities. We currently rely on a small number of manufacturers of drug substance for our product candidates and for finished drug product, and we expect to continue to rely on third parties to manufacture clinical supplies of our product candidates and any other product candidates we may develop and commercial supplies of our products, if and when approved for marketing by applicable regulatory authorities, as well as for packaging, sterilization, storage, distribution and other production logistics.</w:t>
      </w:r>
    </w:p>
    <w:p>
      <w:pPr>
        <w:spacing w:after="0" w:line="135"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Reliance on third-party manufacturers may expose us to different risks than if we were to manufacture product candidates ourselves. If these third parties do not successfully carry out their contractual duties, meet expected deadlines or manufacture any product candidates in accordance with regulatory requirements, if there are disagreements between us and such parties or if such parties are unable to expand capacities to support commercialization of any product candidates for which we obtain marketing approval, we may not be able to fulfill, or may be delayed in producing sufficient product candidates to meet, our supply requirements. These facilities may also be affected by natural disasters, such as floods or fire, or geopolitical developments,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and may have a material adverse effect on our business.</w:t>
      </w:r>
    </w:p>
    <w:p>
      <w:pPr>
        <w:spacing w:after="0" w:line="143"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Third-party manufacturers may not be able to comply with current good manufacturing practices, or cGMP, regulations or similar regulatory requirements outside of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39" w:lineRule="exact"/>
        <w:rPr>
          <w:sz w:val="20"/>
          <w:szCs w:val="20"/>
          <w:color w:val="auto"/>
        </w:rPr>
      </w:pPr>
    </w:p>
    <w:p>
      <w:pPr>
        <w:ind w:left="1220" w:right="399" w:firstLine="353"/>
        <w:spacing w:after="0" w:line="263" w:lineRule="auto"/>
        <w:rPr>
          <w:sz w:val="20"/>
          <w:szCs w:val="20"/>
          <w:color w:val="auto"/>
        </w:rPr>
      </w:pPr>
      <w:r>
        <w:rPr>
          <w:rFonts w:ascii="Arial" w:cs="Arial" w:eastAsia="Arial" w:hAnsi="Arial"/>
          <w:sz w:val="14"/>
          <w:szCs w:val="14"/>
          <w:color w:val="auto"/>
        </w:rPr>
        <w:t>Our product candidates and any other product candidates or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1" w:lineRule="exact"/>
        <w:rPr>
          <w:sz w:val="20"/>
          <w:szCs w:val="20"/>
          <w:color w:val="auto"/>
        </w:rPr>
      </w:pPr>
    </w:p>
    <w:p>
      <w:pPr>
        <w:ind w:left="1220" w:right="179" w:firstLine="353"/>
        <w:spacing w:after="0" w:line="247" w:lineRule="auto"/>
        <w:rPr>
          <w:sz w:val="20"/>
          <w:szCs w:val="20"/>
          <w:color w:val="auto"/>
        </w:rPr>
      </w:pPr>
      <w:r>
        <w:rPr>
          <w:rFonts w:ascii="Arial" w:cs="Arial" w:eastAsia="Arial" w:hAnsi="Arial"/>
          <w:sz w:val="14"/>
          <w:szCs w:val="14"/>
          <w:color w:val="auto"/>
        </w:rPr>
        <w:t>We or our third-party manufacturers may also encounter shortages in the raw materials or drug substance necessary to produce our product candidates and any other product candidates we may develop in the quantities needed for our clinical trials or, if our product candidates and any other product candidates we may develop are approved, in sufficient quantities for commercialization or to meet an increase in demand, as a result of capacity constraints or delays or disruptions in the market for the raw materials or drug substance, including shortages caused by the purchase of such raw materials or drug substance by our competitors or others. Even if raw materials or drug substance are available, we may be unable to obtain sufficient quantities at an acceptable cost or quality. The failure of us or our third-party manufacturers to obtain the raw materials or drug substance necessary to manufacture sufficient quantities of our product candidates and any other product candidates we may develop could delay, prevent or impair our development efforts and may have a material adverse effect on our business.</w:t>
      </w:r>
    </w:p>
    <w:p>
      <w:pPr>
        <w:spacing w:after="0" w:line="143"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We do not have long-term supply agreements in place for drug product or drug substance for our product candidates. If any of our future contract manufacturers cannot perform as agreed, or decline to continue to supply us, we may be required to replace such manufacturers. Although we believe that there are several potential alternative manufacturers who could manufacture our product candidates and any other product candidates we may develop, we may incur added costs and delays in identifying and qualifying any such replacement.</w:t>
      </w:r>
    </w:p>
    <w:p>
      <w:pPr>
        <w:spacing w:after="0" w:line="139" w:lineRule="exact"/>
        <w:rPr>
          <w:sz w:val="20"/>
          <w:szCs w:val="20"/>
          <w:color w:val="auto"/>
        </w:rPr>
      </w:pPr>
    </w:p>
    <w:p>
      <w:pPr>
        <w:ind w:left="1220" w:right="259" w:firstLine="353"/>
        <w:spacing w:after="0" w:line="263" w:lineRule="auto"/>
        <w:rPr>
          <w:sz w:val="20"/>
          <w:szCs w:val="20"/>
          <w:color w:val="auto"/>
        </w:rPr>
      </w:pPr>
      <w:r>
        <w:rPr>
          <w:rFonts w:ascii="Arial" w:cs="Arial" w:eastAsia="Arial" w:hAnsi="Arial"/>
          <w:sz w:val="14"/>
          <w:szCs w:val="14"/>
          <w:color w:val="auto"/>
        </w:rPr>
        <w:t>Our current and anticipated future dependence upon others for the manufacture of our product candidates and any other product candidates or products we may develop may adversely affect our future profit margins and our ability to commercialize any products that receive marketing approval on a timely and competitive basis.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159"/>
          </w:cols>
          <w:pgMar w:left="300" w:top="415"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579"/>
        <w:spacing w:after="0" w:line="294" w:lineRule="auto"/>
        <w:rPr>
          <w:sz w:val="20"/>
          <w:szCs w:val="20"/>
          <w:color w:val="auto"/>
        </w:rPr>
      </w:pPr>
      <w:r>
        <w:rPr>
          <w:rFonts w:ascii="Arial" w:cs="Arial" w:eastAsia="Arial" w:hAnsi="Arial"/>
          <w:sz w:val="14"/>
          <w:szCs w:val="14"/>
          <w:b w:val="1"/>
          <w:bCs w:val="1"/>
          <w:i w:val="1"/>
          <w:iCs w:val="1"/>
          <w:color w:val="auto"/>
        </w:rPr>
        <w:t>We may from time to time be dependent on single-source suppliers for some of the components and materials used in the product candidates we may develop.</w:t>
      </w:r>
    </w:p>
    <w:p>
      <w:pPr>
        <w:spacing w:after="0" w:line="15"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We may from time to time depend on single-source suppliers for some of the components and materials used in any product candidate we may develop.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components, key processes and finished goods could expose us to several risks, including disruptions in supply, price increases or late deliveries. There are, in general, relatively few alternative sources of supply for substitute components. These vendors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damage our business, financial condition, results of operations and prospects.</w:t>
      </w:r>
    </w:p>
    <w:p>
      <w:pPr>
        <w:spacing w:after="0" w:line="146"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If we have to switch to a replacement supplier, the manufacture and delivery of any product candidates we may develop could be interrupted for an extended period, which could adversely affect our business. Establishing additional or replacement suppliers, if required, may not be accomplished quickly. If we are able to find a replacement supplier, the replacement supplier would need to be qualified and may require additional regulatory authority approval, which could result in further delay. While we seek to maintain adequate inventory of the single source components and materials used in our products, any interruption or delay in the supply of components or materials, or our inability to obtain components or materials from alternate sources at acceptable prices in a timely manner, could impair our ability to meet the demand for our investigational medicines.</w:t>
      </w:r>
    </w:p>
    <w:p>
      <w:pPr>
        <w:spacing w:after="0" w:line="229" w:lineRule="exact"/>
        <w:rPr>
          <w:sz w:val="20"/>
          <w:szCs w:val="20"/>
          <w:color w:val="auto"/>
        </w:rPr>
      </w:pPr>
    </w:p>
    <w:p>
      <w:pPr>
        <w:ind w:left="1220" w:right="219"/>
        <w:spacing w:after="0" w:line="268" w:lineRule="auto"/>
        <w:rPr>
          <w:sz w:val="20"/>
          <w:szCs w:val="20"/>
          <w:color w:val="auto"/>
        </w:rPr>
      </w:pPr>
      <w:r>
        <w:rPr>
          <w:rFonts w:ascii="Arial" w:cs="Arial" w:eastAsia="Arial" w:hAnsi="Arial"/>
          <w:sz w:val="14"/>
          <w:szCs w:val="14"/>
          <w:b w:val="1"/>
          <w:bCs w:val="1"/>
          <w:i w:val="1"/>
          <w:iCs w:val="1"/>
          <w:color w:val="auto"/>
        </w:rPr>
        <w:t>We may enter into collaborations with third parties for the development or commercialization of product candidates. If our collaborations are not successful, we may not be able to capitalize on the market potential of these product candidates and our business could be adversely affected.</w:t>
      </w:r>
    </w:p>
    <w:p>
      <w:pPr>
        <w:spacing w:after="0" w:line="32"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We may utilize collaboration, distribution and other marketing arrangements with third parties to develop our product candidates or any future product candidates of ours or to commercialize any product for which we obtain marketing approval.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w:t>
      </w:r>
    </w:p>
    <w:p>
      <w:pPr>
        <w:spacing w:after="0" w:line="139"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As a result, we may not be able to negotiate collaborations on a timely basis, on acceptable terms, or at all.</w:t>
      </w:r>
    </w:p>
    <w:p>
      <w:pPr>
        <w:spacing w:after="0" w:line="143" w:lineRule="exact"/>
        <w:rPr>
          <w:sz w:val="20"/>
          <w:szCs w:val="20"/>
          <w:color w:val="auto"/>
        </w:rPr>
      </w:pPr>
    </w:p>
    <w:p>
      <w:pPr>
        <w:ind w:left="1220" w:right="179" w:firstLine="353"/>
        <w:spacing w:after="0" w:line="248" w:lineRule="auto"/>
        <w:rPr>
          <w:sz w:val="20"/>
          <w:szCs w:val="20"/>
          <w:color w:val="auto"/>
        </w:rPr>
      </w:pPr>
      <w:r>
        <w:rPr>
          <w:rFonts w:ascii="Arial" w:cs="Arial" w:eastAsia="Arial" w:hAnsi="Arial"/>
          <w:sz w:val="14"/>
          <w:szCs w:val="14"/>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any product candidates or bring them to market.</w:t>
      </w:r>
    </w:p>
    <w:p>
      <w:pPr>
        <w:spacing w:after="0" w:line="307" w:lineRule="exact"/>
        <w:rPr>
          <w:sz w:val="20"/>
          <w:szCs w:val="20"/>
          <w:color w:val="auto"/>
        </w:rPr>
      </w:pPr>
    </w:p>
    <w:p>
      <w:pPr>
        <w:ind w:left="1220" w:right="239" w:firstLine="353"/>
        <w:spacing w:after="0" w:line="252" w:lineRule="auto"/>
        <w:rPr>
          <w:sz w:val="20"/>
          <w:szCs w:val="20"/>
          <w:color w:val="auto"/>
        </w:rPr>
      </w:pPr>
      <w:r>
        <w:rPr>
          <w:rFonts w:ascii="Arial" w:cs="Arial" w:eastAsia="Arial" w:hAnsi="Arial"/>
          <w:sz w:val="14"/>
          <w:szCs w:val="14"/>
          <w:color w:val="auto"/>
        </w:rPr>
        <w:t>If we are able to enter into collaborations with any third parties in the future, we will likely have limited control over the amount and timing of resources that any future collaborators of ours dedicate to the development or commercialization of our product candidates and any future product candidates of ours. Our ability to generate revenues from these arrangements will depend on any future collaborators of ours abilities and efforts to successfully perform the functions assigned to them in these arrangements. We cannot be certain that, following a collaboration, license or strategic transaction, we will achieve an economic benefit that justifies such transaction.</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159"/>
          </w:cols>
          <w:pgMar w:left="300" w:top="415"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739"/>
        <w:spacing w:after="0" w:line="285" w:lineRule="auto"/>
        <w:rPr>
          <w:sz w:val="20"/>
          <w:szCs w:val="20"/>
          <w:color w:val="auto"/>
        </w:rPr>
      </w:pPr>
      <w:r>
        <w:rPr>
          <w:rFonts w:ascii="Arial" w:cs="Arial" w:eastAsia="Arial" w:hAnsi="Arial"/>
          <w:sz w:val="14"/>
          <w:szCs w:val="14"/>
          <w:color w:val="auto"/>
        </w:rPr>
        <w:t>Collaborations that we enter into may not be successful, and any success will depend heavily on the efforts and activities of such collaborators. Collaborations pose a number of risks, including the following:</w:t>
      </w:r>
    </w:p>
    <w:p>
      <w:pPr>
        <w:spacing w:after="0" w:line="40" w:lineRule="exact"/>
        <w:rPr>
          <w:sz w:val="20"/>
          <w:szCs w:val="20"/>
          <w:color w:val="auto"/>
        </w:rPr>
      </w:pPr>
    </w:p>
    <w:p>
      <w:pPr>
        <w:ind w:left="2000" w:right="29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amount and timing of efforts and resources that they will apply to these collaborations;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may not perform their obligations as expected;</w:t>
      </w:r>
    </w:p>
    <w:p>
      <w:pPr>
        <w:spacing w:after="0" w:line="98" w:lineRule="exact"/>
        <w:rPr>
          <w:rFonts w:ascii="Arial" w:cs="Arial" w:eastAsia="Arial" w:hAnsi="Arial"/>
          <w:sz w:val="14"/>
          <w:szCs w:val="14"/>
          <w:color w:val="auto"/>
        </w:rPr>
      </w:pPr>
    </w:p>
    <w:p>
      <w:pPr>
        <w:ind w:left="2000" w:right="239" w:hanging="338"/>
        <w:spacing w:after="0" w:line="256"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may not pursue development of our product candidates and any future product candidates of ours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59" w:lineRule="exact"/>
        <w:rPr>
          <w:rFonts w:ascii="Arial" w:cs="Arial" w:eastAsia="Arial" w:hAnsi="Arial"/>
          <w:sz w:val="14"/>
          <w:szCs w:val="14"/>
          <w:color w:val="auto"/>
        </w:rPr>
      </w:pPr>
    </w:p>
    <w:p>
      <w:pPr>
        <w:ind w:left="2000" w:right="19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9" w:lineRule="exact"/>
        <w:rPr>
          <w:rFonts w:ascii="Arial" w:cs="Arial" w:eastAsia="Arial" w:hAnsi="Arial"/>
          <w:sz w:val="14"/>
          <w:szCs w:val="14"/>
          <w:color w:val="auto"/>
        </w:rPr>
      </w:pPr>
    </w:p>
    <w:p>
      <w:pPr>
        <w:ind w:left="2000" w:right="419" w:hanging="338"/>
        <w:spacing w:after="0" w:line="263"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55" w:lineRule="exact"/>
        <w:rPr>
          <w:rFonts w:ascii="Arial" w:cs="Arial" w:eastAsia="Arial" w:hAnsi="Arial"/>
          <w:sz w:val="14"/>
          <w:szCs w:val="14"/>
          <w:color w:val="auto"/>
        </w:rPr>
      </w:pPr>
    </w:p>
    <w:p>
      <w:pPr>
        <w:jc w:val="both"/>
        <w:ind w:left="2000" w:right="259" w:hanging="338"/>
        <w:spacing w:after="0" w:line="263"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could independently develop, or develop with third parties, products that compete directly or indirectly with any product candidates and products if the collaborators believe that the competitive products are more likely to be successfully developed or can be commercialized under terms that are more economically attractive than ours;</w:t>
      </w:r>
    </w:p>
    <w:p>
      <w:pPr>
        <w:spacing w:after="0" w:line="55" w:lineRule="exact"/>
        <w:rPr>
          <w:rFonts w:ascii="Arial" w:cs="Arial" w:eastAsia="Arial" w:hAnsi="Arial"/>
          <w:sz w:val="14"/>
          <w:szCs w:val="14"/>
          <w:color w:val="auto"/>
        </w:rPr>
      </w:pPr>
    </w:p>
    <w:p>
      <w:pPr>
        <w:ind w:left="2000" w:right="219" w:hanging="338"/>
        <w:spacing w:after="0" w:line="263"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product candidates discovered in collaboration with us may be viewed by any future collaborators of ours as competitive with their own product candidates or products, which may cause collaborators to cease to devote resources to the commercialization of any product candidates;</w:t>
      </w:r>
    </w:p>
    <w:p>
      <w:pPr>
        <w:spacing w:after="0" w:line="55"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collaborator may fail to comply with applicable regulatory requirements regarding the development, manufacture, distribution or marketing of a product candidate or product;</w:t>
      </w:r>
    </w:p>
    <w:p>
      <w:pPr>
        <w:spacing w:after="0" w:line="39" w:lineRule="exact"/>
        <w:rPr>
          <w:rFonts w:ascii="Arial" w:cs="Arial" w:eastAsia="Arial" w:hAnsi="Arial"/>
          <w:sz w:val="14"/>
          <w:szCs w:val="14"/>
          <w:color w:val="auto"/>
        </w:rPr>
      </w:pPr>
    </w:p>
    <w:p>
      <w:pPr>
        <w:ind w:left="2000" w:right="65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collaborator with marketing and distribution rights to one or more of any product candidates that achieves marketing approval may not commit sufficient resources to the marketing and distribution of such product or products;</w:t>
      </w:r>
    </w:p>
    <w:p>
      <w:pPr>
        <w:spacing w:after="0" w:line="39" w:lineRule="exact"/>
        <w:rPr>
          <w:rFonts w:ascii="Arial" w:cs="Arial" w:eastAsia="Arial" w:hAnsi="Arial"/>
          <w:sz w:val="14"/>
          <w:szCs w:val="14"/>
          <w:color w:val="auto"/>
        </w:rPr>
      </w:pPr>
    </w:p>
    <w:p>
      <w:pPr>
        <w:ind w:left="2000" w:right="199" w:hanging="338"/>
        <w:spacing w:after="0" w:line="256"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9" w:lineRule="exact"/>
        <w:rPr>
          <w:rFonts w:ascii="Arial" w:cs="Arial" w:eastAsia="Arial" w:hAnsi="Arial"/>
          <w:sz w:val="14"/>
          <w:szCs w:val="14"/>
          <w:color w:val="auto"/>
        </w:rPr>
      </w:pPr>
    </w:p>
    <w:p>
      <w:pPr>
        <w:ind w:left="2000" w:right="119" w:hanging="338"/>
        <w:spacing w:after="0" w:line="263"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55" w:lineRule="exact"/>
        <w:rPr>
          <w:rFonts w:ascii="Arial" w:cs="Arial" w:eastAsia="Arial" w:hAnsi="Arial"/>
          <w:sz w:val="14"/>
          <w:szCs w:val="14"/>
          <w:color w:val="auto"/>
        </w:rPr>
      </w:pPr>
    </w:p>
    <w:p>
      <w:pPr>
        <w:ind w:left="2000" w:hanging="338"/>
        <w:spacing w:after="0"/>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disputes may arise with respect to the ownership of intellectual property developed pursuant to our collaborations;</w:t>
      </w:r>
    </w:p>
    <w:p>
      <w:pPr>
        <w:spacing w:after="0" w:line="98"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collaborators may infringe, misappropriate or otherwise violate the intellectual property or proprietary rights of third parties, which may expose us to litigation and potential liability;</w:t>
      </w:r>
    </w:p>
    <w:p>
      <w:pPr>
        <w:spacing w:after="0" w:line="39" w:lineRule="exact"/>
        <w:rPr>
          <w:rFonts w:ascii="Arial" w:cs="Arial" w:eastAsia="Arial" w:hAnsi="Arial"/>
          <w:sz w:val="14"/>
          <w:szCs w:val="14"/>
          <w:color w:val="auto"/>
        </w:rPr>
      </w:pPr>
    </w:p>
    <w:p>
      <w:pPr>
        <w:ind w:left="2000" w:right="19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may be required to invest resources and attention into collaborations, which could distract from other business objectives; and</w:t>
      </w:r>
    </w:p>
    <w:p>
      <w:pPr>
        <w:spacing w:after="0" w:line="39" w:lineRule="exact"/>
        <w:rPr>
          <w:rFonts w:ascii="Arial" w:cs="Arial" w:eastAsia="Arial" w:hAnsi="Arial"/>
          <w:sz w:val="14"/>
          <w:szCs w:val="14"/>
          <w:color w:val="auto"/>
        </w:rPr>
      </w:pPr>
    </w:p>
    <w:p>
      <w:pPr>
        <w:ind w:left="2000" w:right="259" w:hanging="338"/>
        <w:spacing w:after="0" w:line="285" w:lineRule="auto"/>
        <w:tabs>
          <w:tab w:leader="none" w:pos="20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collaborations may be terminated by the collaborator (including for convenience), and, if terminated, we could be required to raise additional capital to pursue further development or commercialization of the applicable product candidates.</w:t>
      </w:r>
    </w:p>
    <w:p>
      <w:pPr>
        <w:spacing w:after="0" w:line="115"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future collaborators terminates its agreement with us, we may not receive any future research funding or milestone or royalty payments under the collaboration. If we do not receive the funding we expect under these agreements, our development of any product candidates could be delayed and we may need additional resources to develop any product candidates. All of the risks relating to product development, marketing approval and commercialization described in this “Risk Factors” section also apply to the activities of any future collaborators of ours.</w:t>
      </w:r>
    </w:p>
    <w:p>
      <w:pPr>
        <w:spacing w:after="0" w:line="307" w:lineRule="exact"/>
        <w:rPr>
          <w:sz w:val="20"/>
          <w:szCs w:val="20"/>
          <w:color w:val="auto"/>
        </w:rPr>
      </w:pPr>
    </w:p>
    <w:p>
      <w:pPr>
        <w:ind w:left="1220" w:right="99" w:firstLine="353"/>
        <w:spacing w:after="0" w:line="256" w:lineRule="auto"/>
        <w:rPr>
          <w:sz w:val="20"/>
          <w:szCs w:val="20"/>
          <w:color w:val="auto"/>
        </w:rPr>
      </w:pPr>
      <w:r>
        <w:rPr>
          <w:rFonts w:ascii="Arial" w:cs="Arial" w:eastAsia="Arial" w:hAnsi="Arial"/>
          <w:sz w:val="14"/>
          <w:szCs w:val="14"/>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any future collaborators of ours terminates its agreement with us, we may find it more difficult to attract new collaborators and our perception in the business and financial communities could be adversely affected.</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0159"/>
          </w:cols>
          <w:pgMar w:left="300" w:top="415"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399"/>
        <w:spacing w:after="0" w:line="294"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or trade secrets of third parties.</w:t>
      </w:r>
    </w:p>
    <w:p>
      <w:pPr>
        <w:spacing w:after="0" w:line="15" w:lineRule="exact"/>
        <w:rPr>
          <w:sz w:val="20"/>
          <w:szCs w:val="20"/>
          <w:color w:val="auto"/>
        </w:rPr>
      </w:pPr>
    </w:p>
    <w:p>
      <w:pPr>
        <w:ind w:left="1220" w:right="279" w:firstLine="353"/>
        <w:spacing w:after="0" w:line="250" w:lineRule="auto"/>
        <w:rPr>
          <w:sz w:val="20"/>
          <w:szCs w:val="20"/>
          <w:color w:val="auto"/>
        </w:rPr>
      </w:pPr>
      <w:r>
        <w:rPr>
          <w:rFonts w:ascii="Arial" w:cs="Arial" w:eastAsia="Arial" w:hAnsi="Arial"/>
          <w:sz w:val="14"/>
          <w:szCs w:val="14"/>
          <w:color w:val="auto"/>
        </w:rPr>
        <w:t>We employ individuals who were previously employed at other biotechnology or biopharmaceutical companies. Although we try to ensure that our employees, consultants and advisors do not use the proprietary information, trade secrets or know-how of others in their work for us, we may be subject to claims that we or our employees, consultants or independent contractors have inadvertently or otherwise used or disclosed confidential information of our employees’ former employers or other third parties. Litigation may be necessary to defend against these claims. There is no guarantee of success in defending these claims, and even if we are successful, litigation could result in substantial cost and be a distraction to our management and other employees.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90" w:lineRule="exact"/>
        <w:rPr>
          <w:sz w:val="20"/>
          <w:szCs w:val="20"/>
          <w:color w:val="auto"/>
        </w:rPr>
      </w:pPr>
    </w:p>
    <w:p>
      <w:pPr>
        <w:ind w:left="1220" w:right="279"/>
        <w:spacing w:after="0" w:line="268" w:lineRule="auto"/>
        <w:rPr>
          <w:sz w:val="20"/>
          <w:szCs w:val="20"/>
          <w:color w:val="auto"/>
        </w:rPr>
      </w:pPr>
      <w:r>
        <w:rPr>
          <w:rFonts w:ascii="Arial" w:cs="Arial" w:eastAsia="Arial" w:hAnsi="Arial"/>
          <w:sz w:val="14"/>
          <w:szCs w:val="14"/>
          <w:b w:val="1"/>
          <w:bCs w:val="1"/>
          <w:i w:val="1"/>
          <w:iCs w:val="1"/>
          <w:color w:val="auto"/>
        </w:rPr>
        <w:t>If we fail to comply with our obligations under our existing license agreements with Novo Nordisk and Genmab, or under any future intellectual property licenses, or otherwise experience disruptions to our business relationships with our current or any future licensors, we could lose intellectual property rights that are important to our business.</w:t>
      </w:r>
    </w:p>
    <w:p>
      <w:pPr>
        <w:spacing w:after="0" w:line="32" w:lineRule="exact"/>
        <w:rPr>
          <w:sz w:val="20"/>
          <w:szCs w:val="20"/>
          <w:color w:val="auto"/>
        </w:rPr>
      </w:pPr>
    </w:p>
    <w:p>
      <w:pPr>
        <w:ind w:left="1220" w:right="179" w:firstLine="353"/>
        <w:spacing w:after="0" w:line="246" w:lineRule="auto"/>
        <w:rPr>
          <w:sz w:val="20"/>
          <w:szCs w:val="20"/>
          <w:color w:val="auto"/>
        </w:rPr>
      </w:pPr>
      <w:r>
        <w:rPr>
          <w:rFonts w:ascii="Arial" w:cs="Arial" w:eastAsia="Arial" w:hAnsi="Arial"/>
          <w:sz w:val="14"/>
          <w:szCs w:val="14"/>
          <w:color w:val="auto"/>
        </w:rPr>
        <w:t>We are party to existing license agreements with each of Novo Nordisk and Genmab with respect to sutacimig. Termination of either of these agreements or a reduction or elimination of our licensed rights could lead to the loss of our ability to develop and commercialize sutacimig. Under the Novo Nordisk Agreement, we have been granted an exclusive (even as to Novo Nordisk), worldwide and sublicensable license under specified patent rights, and a non-exclusive, worldwide and sublicensable license under specified know-how, to research, develop, make, have made, use, offer for sale, sell, import, export or otherwise exploit, or transfer possession of or title in, products containing bispecific IgG antibodies targeting TLT-1 and Factor VII, including sutacimig, for the treatment of bleeding conditions, including hemophilia. Under the Genmab Agreement, we have been granted an exclusive (even as to Genmab and its affiliates), worldwide and sublicensable license under platform technology patent rights and know-how relating to Genmab’s proprietary DuoBody</w:t>
      </w:r>
      <w:r>
        <w:rPr>
          <w:rFonts w:ascii="Arial" w:cs="Arial" w:eastAsia="Arial" w:hAnsi="Arial"/>
          <w:sz w:val="8"/>
          <w:szCs w:val="8"/>
          <w:color w:val="auto"/>
        </w:rPr>
        <w:t>®</w:t>
      </w:r>
      <w:r>
        <w:rPr>
          <w:rFonts w:ascii="Arial" w:cs="Arial" w:eastAsia="Arial" w:hAnsi="Arial"/>
          <w:sz w:val="14"/>
          <w:szCs w:val="14"/>
          <w:color w:val="auto"/>
        </w:rPr>
        <w:t xml:space="preserve"> platform to research, develop, make, have made, use, manufacture, import, export and commercialize products containing bispecific IgG antibodies targeting TLT-1 and Factor VII, including sutacimig, for the treatment of bleeding conditions, including hemophilia. For further information regarding our license agreements with Novo Nordisk and Genmab see “Business—License Agreements.”</w:t>
      </w:r>
    </w:p>
    <w:p>
      <w:pPr>
        <w:spacing w:after="0" w:line="143"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We may enter into additional license agreements in the future. Our future license agreements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product candidates and technology in the future. Additionally, future agreements may impose various development, diligence, commercialization and other obligations on us and require us to meet development timelines, or to exercise commercially reasonable efforts to develop and commercialize licensed products, in order to maintain the licenses.</w:t>
      </w:r>
    </w:p>
    <w:p>
      <w:pPr>
        <w:spacing w:after="0" w:line="141"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Our license agreements with Novo Nordisk and Genmab impose, and we expect that future licenses may impose, specified diligence, milestone payments, royalties and other obligations on us. Furthermore, Novo Nordisk and Genmab each has the right to terminate their respective license agreement if we materially breach such agreement and fail to cure such breach within a specified period or in the event of insolvency. In spite of our best efforts, our current or any future licensors might conclude that we have materially breached our license agreements and might therefore terminate the license agreements, thereby removing our ability to develop and commercialize product candidates and technology covered by these license agreements. As a result, we may be required to cease our development and commercialization of our product candidates and use of our proprietary technologies covered by the patent rights owned by such licensors. If these in-licenses are terminated, or if the in-licensed intellectual property fails to provide the intended exclusivity, competitors may have the freedom to seek regulatory approval of, and to market, products identical to ours. This could have a material adverse effect on our competitive position, business, financial condition, results of operations, and prospects.</w:t>
      </w:r>
    </w:p>
    <w:p>
      <w:pPr>
        <w:spacing w:after="0" w:line="146"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99" w:lineRule="exact"/>
        <w:rPr>
          <w:sz w:val="20"/>
          <w:szCs w:val="20"/>
          <w:color w:val="auto"/>
        </w:rPr>
      </w:pPr>
    </w:p>
    <w:p>
      <w:pPr>
        <w:ind w:left="2000" w:hanging="338"/>
        <w:spacing w:after="0"/>
        <w:tabs>
          <w:tab w:leader="none" w:pos="20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8" w:lineRule="exact"/>
        <w:rPr>
          <w:rFonts w:ascii="Arial" w:cs="Arial" w:eastAsia="Arial" w:hAnsi="Arial"/>
          <w:sz w:val="14"/>
          <w:szCs w:val="14"/>
          <w:color w:val="auto"/>
        </w:rPr>
      </w:pPr>
    </w:p>
    <w:p>
      <w:pPr>
        <w:ind w:left="2000" w:right="479" w:hanging="338"/>
        <w:spacing w:after="0" w:line="285" w:lineRule="auto"/>
        <w:tabs>
          <w:tab w:leader="none" w:pos="20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our collaborative development relationships;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159"/>
          </w:cols>
          <w:pgMar w:left="300" w:top="415"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hanging="338"/>
        <w:spacing w:after="0"/>
        <w:tabs>
          <w:tab w:leader="none" w:pos="2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8"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current or future licensors, and us and our partners; and</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174" w:lineRule="exact"/>
        <w:rPr>
          <w:sz w:val="20"/>
          <w:szCs w:val="20"/>
          <w:color w:val="auto"/>
        </w:rPr>
      </w:pPr>
    </w:p>
    <w:p>
      <w:pPr>
        <w:ind w:left="1220" w:right="159" w:firstLine="353"/>
        <w:spacing w:after="0" w:line="248" w:lineRule="auto"/>
        <w:rPr>
          <w:sz w:val="20"/>
          <w:szCs w:val="20"/>
          <w:color w:val="auto"/>
        </w:rPr>
      </w:pPr>
      <w:r>
        <w:rPr>
          <w:rFonts w:ascii="Arial" w:cs="Arial" w:eastAsia="Arial" w:hAnsi="Arial"/>
          <w:sz w:val="14"/>
          <w:szCs w:val="14"/>
          <w:color w:val="auto"/>
        </w:rPr>
        <w:t>In addition,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396" w:lineRule="exact"/>
        <w:rPr>
          <w:sz w:val="20"/>
          <w:szCs w:val="20"/>
          <w:color w:val="auto"/>
        </w:rPr>
      </w:pPr>
    </w:p>
    <w:p>
      <w:pPr>
        <w:ind w:left="1220" w:right="379"/>
        <w:spacing w:after="0" w:line="294" w:lineRule="auto"/>
        <w:rPr>
          <w:sz w:val="20"/>
          <w:szCs w:val="20"/>
          <w:color w:val="auto"/>
        </w:rPr>
      </w:pPr>
      <w:r>
        <w:rPr>
          <w:rFonts w:ascii="Arial" w:cs="Arial" w:eastAsia="Arial" w:hAnsi="Arial"/>
          <w:sz w:val="14"/>
          <w:szCs w:val="14"/>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5" w:lineRule="exact"/>
        <w:rPr>
          <w:sz w:val="20"/>
          <w:szCs w:val="20"/>
          <w:color w:val="auto"/>
        </w:rPr>
      </w:pPr>
    </w:p>
    <w:p>
      <w:pPr>
        <w:ind w:left="1220" w:right="159" w:firstLine="353"/>
        <w:spacing w:after="0" w:line="253" w:lineRule="auto"/>
        <w:rPr>
          <w:sz w:val="20"/>
          <w:szCs w:val="20"/>
          <w:color w:val="auto"/>
        </w:rPr>
      </w:pPr>
      <w:r>
        <w:rPr>
          <w:rFonts w:ascii="Arial" w:cs="Arial" w:eastAsia="Arial" w:hAnsi="Arial"/>
          <w:sz w:val="14"/>
          <w:szCs w:val="14"/>
          <w:color w:val="auto"/>
        </w:rPr>
        <w:t>We currently have rights to intellectual property, through licenses from third parties, to identify and develop certain product candidates, and we may enter into additional licenses in the future as we expand our product candidate pipeline. Although we have succeeded in licensing intellectual property from third-party licensors, including Genmab and Novo Nordisk, in the past, we cannot assure our stockholders that we will be able to in-license or acquire the rights to any potential product candidates from third parties on acceptable terms or at all.</w:t>
      </w:r>
    </w:p>
    <w:p>
      <w:pPr>
        <w:spacing w:after="0" w:line="306"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In addition, our license agreements may provide that our fields of use exclude particular fields. If we determine that rights to such fields are necessary to commercialize our product candidates or maintain our competitive advantage, we may need to obtain additional license rights in order to continue developing, manufacturing or marketing our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w:t>
      </w:r>
    </w:p>
    <w:p>
      <w:pPr>
        <w:spacing w:after="0" w:line="141"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Various third parties practice in competitive areas and may have issued patents or patent applications that will issue as patents in the future, which could impede or preclude our ability to commercialize our product candidates. For any third-party patents that could be relevant to our product candidates, we rely in part on the “safe harbor” or research exemption under 35 U.S.C. § 271(e)(1), which exempts activities related to pursuing FDA approval for a drug product from patent infringement. However, while U.S. patent law provides such a “safe harbor” to our clinical product candidates under this provision, that exemption may expire when a BLA is submitted. Given the uncertainty of clinical trials, we cannot be certain of the timing of their completion and it is possible that we may submit a BLA for one of our future product candidates at a time when one or more relevant third-party patents is in force. It may therefore be necessary for us to use the patented or proprietary intellectual property of third parties to commercialize our products, in which case we would be required to obtain a license from these third parties. If we are unable to license such intellectual property, or if we are forced to license such intellectual property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intellectual property licensed to us.</w:t>
      </w:r>
    </w:p>
    <w:p>
      <w:pPr>
        <w:spacing w:after="0" w:line="145"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Additionally, we may collaborate with academic institutions to accelerate our preclinical research or development under written agreements with these institutions. In certain cases, these institutions provide us with an option to negotiate a license to any of the institution’s rights in intellectual property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w:t>
      </w:r>
    </w:p>
    <w:p>
      <w:pPr>
        <w:spacing w:after="0" w:line="139" w:lineRule="exact"/>
        <w:rPr>
          <w:sz w:val="20"/>
          <w:szCs w:val="20"/>
          <w:color w:val="auto"/>
        </w:rPr>
      </w:pPr>
    </w:p>
    <w:p>
      <w:pPr>
        <w:ind w:left="1220" w:right="219" w:firstLine="353"/>
        <w:spacing w:after="0" w:line="252" w:lineRule="auto"/>
        <w:rPr>
          <w:sz w:val="20"/>
          <w:szCs w:val="20"/>
          <w:color w:val="auto"/>
        </w:rPr>
      </w:pPr>
      <w:r>
        <w:rPr>
          <w:rFonts w:ascii="Arial" w:cs="Arial" w:eastAsia="Arial" w:hAnsi="Arial"/>
          <w:sz w:val="14"/>
          <w:szCs w:val="14"/>
          <w:color w:val="auto"/>
        </w:rPr>
        <w:t>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159"/>
          </w:cols>
          <w:pgMar w:left="300" w:top="415"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99"/>
        <w:spacing w:after="0" w:line="256" w:lineRule="auto"/>
        <w:rPr>
          <w:sz w:val="20"/>
          <w:szCs w:val="20"/>
          <w:color w:val="auto"/>
        </w:rPr>
      </w:pPr>
      <w:r>
        <w:rPr>
          <w:rFonts w:ascii="Arial" w:cs="Arial" w:eastAsia="Arial" w:hAnsi="Arial"/>
          <w:sz w:val="14"/>
          <w:szCs w:val="14"/>
          <w:color w:val="auto"/>
        </w:rPr>
        <w:t>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applicable product candidate, which could have a material adverse effect on our business, financial condition, results of operations and prospects.</w:t>
      </w:r>
    </w:p>
    <w:p>
      <w:pPr>
        <w:spacing w:after="0" w:line="135"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If we are unable to obtain rights to required third-party intellectual property rights or maintain the existing intellectual property rights we have, we may be required to expend significant time and resources to redesign our product candidates, or the methods for manufacturing them or to develop or license replacement intellectual property, all of which may not be feasible on a technical or commercial basis. If we are unable to do so, we may be unable to develop or commercialize the affected product candidates, which could harm our business, financial condition, results of operations, and prospects significantly.</w:t>
      </w:r>
    </w:p>
    <w:p>
      <w:pPr>
        <w:spacing w:after="0" w:line="139"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current and future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impede, or delay or prohibit the further development or commercialization of one or more potential product candidates that rely on such agreements.</w:t>
      </w:r>
    </w:p>
    <w:p>
      <w:pPr>
        <w:spacing w:after="0" w:line="231" w:lineRule="exact"/>
        <w:rPr>
          <w:sz w:val="20"/>
          <w:szCs w:val="20"/>
          <w:color w:val="auto"/>
        </w:rPr>
      </w:pPr>
    </w:p>
    <w:p>
      <w:pPr>
        <w:ind w:left="1220" w:right="339"/>
        <w:spacing w:after="0" w:line="259" w:lineRule="auto"/>
        <w:rPr>
          <w:sz w:val="20"/>
          <w:szCs w:val="20"/>
          <w:color w:val="auto"/>
        </w:rPr>
      </w:pPr>
      <w:r>
        <w:rPr>
          <w:rFonts w:ascii="Arial" w:cs="Arial" w:eastAsia="Arial" w:hAnsi="Arial"/>
          <w:sz w:val="14"/>
          <w:szCs w:val="14"/>
          <w:b w:val="1"/>
          <w:bCs w:val="1"/>
          <w:i w:val="1"/>
          <w:iCs w:val="1"/>
          <w:color w:val="auto"/>
        </w:rPr>
        <w:t>If we are unable to obtain, maintain, enforce, defend and otherwise protect the intellectual property relating to our technology and product candidates, and if the scope of the intellectual property protection obtained is not sufficiently broad, our competitors or other third parties could develop and commercialize technology and products similar or identical to ours, and our ability to successfully develop and commercialize our technology and product candidates may be adversely affected.</w:t>
      </w:r>
    </w:p>
    <w:p>
      <w:pPr>
        <w:spacing w:after="0" w:line="39"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Our success depends in large part on our ability to obtain and maintain protection of the intellectual property we may own solely and jointly with others or may license from others, particularly patents with respect to any proprietary technology and product candidates we develop. We seek to protect our proprietary position by filing patent applications in the United States, Europe and other jurisdictions in which we plan to market any products, if approved, related to our product candidates and any other product candidates we may develop that are important to our business and by in-licensing intellectual property related to our technologies and product candidates. If we, or our licensors, are unable to obtain or maintain patent protection with respect to any proprietary technology or product candidates, our business, financial condition, results of operations and prospects could be materially harmed.</w:t>
      </w:r>
    </w:p>
    <w:p>
      <w:pPr>
        <w:spacing w:after="0" w:line="140"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Therefore, these in-licensed patents and applications may not be prepared, filed, prosecuted, maintained, defended and enforced in a manner consistent with the best interests of our business.</w:t>
      </w:r>
    </w:p>
    <w:p>
      <w:pPr>
        <w:spacing w:after="0" w:line="139"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The patent position of pharmaceutical and biotechnology companies generally is highly uncertain, involves complex legal and factual questions and has in recent years been the subject of much litigation.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and any other product candidates we may develop. In addition, publications of discoveries in the scientific literature often lag behind the actual discoveries, and patent applications are typically not published until 18 months after filing of the priority application,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that protect our technology and product candidates, in whole or in part, or that effectively prevent others from commercializing competitive technologies and products. Changes in either the patent laws or interpretation of the patent laws in the United States, the European Union and other countries may diminish the value of our patents and our ability to obtain, protect, maintain, defend and enforce our patent rights, narrow the scope of our patent protection and, more generally, could affect the value of, or narrow the scope of, our patent rights.</w:t>
      </w:r>
    </w:p>
    <w:p>
      <w:pPr>
        <w:spacing w:after="0" w:line="88"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159"/>
          </w:cols>
          <w:pgMar w:left="300" w:top="415"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99" w:firstLine="353"/>
        <w:spacing w:after="0" w:line="244" w:lineRule="auto"/>
        <w:rPr>
          <w:sz w:val="20"/>
          <w:szCs w:val="20"/>
          <w:color w:val="auto"/>
        </w:rPr>
      </w:pPr>
      <w:r>
        <w:rPr>
          <w:rFonts w:ascii="Arial" w:cs="Arial" w:eastAsia="Arial" w:hAnsi="Arial"/>
          <w:sz w:val="14"/>
          <w:szCs w:val="14"/>
          <w:color w:val="auto"/>
        </w:rPr>
        <w:t>As of March 31, 2026, we own, co-own, or hold exclusive license rights to approximately 11 issued patents and 71 pending patent applications related to our product candidates. In order to continue to pursue protection based on provisional patent applications, we will need to file Patent Cooperation Treaty applications, non-U.S. applications and/or U.S. non-provisional patent applications prior to applicable deadlines. Even then, as highlighted above, patents may never issue from our patent applications, or the scope of any patent may not be sufficient to provide a competitive advantage. With respect to sutacimig, our foundational composition of matter patent application was filed in April 2020 (and claims priority to April 2019) with an expected expiration in April 2040, potentially extending to 2045 with patent term extension. The foundational sutacimig composition of matter patent family is exclusively licensed to us from Novo Nordisk. For HMB-002, our initial composition of matter patent application was filed in February 2023 (and claims priority to February</w:t>
      </w:r>
    </w:p>
    <w:p>
      <w:pPr>
        <w:spacing w:after="0" w:line="3" w:lineRule="exact"/>
        <w:rPr>
          <w:sz w:val="20"/>
          <w:szCs w:val="20"/>
          <w:color w:val="auto"/>
        </w:rPr>
      </w:pPr>
    </w:p>
    <w:p>
      <w:pPr>
        <w:ind w:left="1220" w:right="439"/>
        <w:spacing w:after="0" w:line="253" w:lineRule="auto"/>
        <w:rPr>
          <w:sz w:val="20"/>
          <w:szCs w:val="20"/>
          <w:color w:val="auto"/>
        </w:rPr>
      </w:pPr>
      <w:r>
        <w:rPr>
          <w:rFonts w:ascii="Arial" w:cs="Arial" w:eastAsia="Arial" w:hAnsi="Arial"/>
          <w:sz w:val="14"/>
          <w:szCs w:val="14"/>
          <w:color w:val="auto"/>
        </w:rPr>
        <w:t>2022) with an expected expiration in February 2043. We solely own the initial HMB-002 composition of matter patent family. A second composition of matter patent application covering HMB-002 was filed in August 2024 (and claims priority to August 2023), with an expected expiration in August 2044. We also solely own the second HMB-002 composition of matter patent family.</w:t>
      </w:r>
    </w:p>
    <w:p>
      <w:pPr>
        <w:spacing w:after="0" w:line="137"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interference or other similar proceedings challenging our patent rights or the patent rights of others. An adverse determination in any such submission, proceeding or litigation could reduce the scope of, or invalidate, our patent rights, allow third parties to commercialize technology and product candidates that are identical or similar to ours and compete directly with us, without payment to us, or result in our inability to manufacture or commercialize drugs without infringing third-party patent rights. If the breadth or strength of protection provided by our patents and patent applications is threatened, it could dissuade companies from collaborating with us to license, develop or commercialize current or future product candidates.</w:t>
      </w:r>
    </w:p>
    <w:p>
      <w:pPr>
        <w:spacing w:after="0" w:line="141" w:lineRule="exact"/>
        <w:rPr>
          <w:sz w:val="20"/>
          <w:szCs w:val="20"/>
          <w:color w:val="auto"/>
        </w:rPr>
      </w:pPr>
    </w:p>
    <w:p>
      <w:pPr>
        <w:ind w:left="1220" w:right="119" w:firstLine="353"/>
        <w:spacing w:after="0" w:line="244" w:lineRule="auto"/>
        <w:rPr>
          <w:sz w:val="20"/>
          <w:szCs w:val="20"/>
          <w:color w:val="auto"/>
        </w:rPr>
      </w:pPr>
      <w:r>
        <w:rPr>
          <w:rFonts w:ascii="Arial" w:cs="Arial" w:eastAsia="Arial" w:hAnsi="Arial"/>
          <w:sz w:val="14"/>
          <w:szCs w:val="14"/>
          <w:color w:val="auto"/>
        </w:rPr>
        <w:t>Additionally, the coverage claimed in a patent application can be significantly reduced before the patent is issued, and its scope can be reinterpreted after issuance, including as a result of challenges brought in patent offices or court proceedings.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the European Union and other jurisdictions.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Moreover, some of our owned and in-licensed patents and patent applications may in the future be, and certain of our current patent applications are, co-owned with third parties. If we are unable to obtain an exclusive license to any such third-party co-owners’ interest in such patents or patent applications, we may need the cooperation of any such co-owners of our patents in order to enforce such patents against third parties, and such cooperation may not be provided to us.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using or commercializing technology and products similar or identical to any of our technology and product candidates.</w:t>
      </w: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Patent terms may be inadequate to protect our competitive position on any product candidates for an adequate amount of time.</w:t>
      </w:r>
    </w:p>
    <w:p>
      <w:pPr>
        <w:spacing w:after="0" w:line="86" w:lineRule="exact"/>
        <w:rPr>
          <w:sz w:val="20"/>
          <w:szCs w:val="20"/>
          <w:color w:val="auto"/>
        </w:rPr>
      </w:pPr>
    </w:p>
    <w:p>
      <w:pPr>
        <w:ind w:left="1220" w:right="239" w:firstLine="353"/>
        <w:spacing w:after="0" w:line="256" w:lineRule="auto"/>
        <w:rPr>
          <w:sz w:val="20"/>
          <w:szCs w:val="20"/>
          <w:color w:val="auto"/>
        </w:rPr>
      </w:pPr>
      <w:r>
        <w:rPr>
          <w:rFonts w:ascii="Arial" w:cs="Arial" w:eastAsia="Arial" w:hAnsi="Arial"/>
          <w:sz w:val="14"/>
          <w:szCs w:val="14"/>
          <w:color w:val="auto"/>
        </w:rPr>
        <w:t>Patents have a limited lifespan. In the United States, if all maintenance fees are timely paid, the natural expiration of a patent is generally 20 years from its earliest U.S. non-provisional filing date. The patent term of a U.S. patent may be lengthened by patent term adjustment, which compensates a patentee for administrative delays by the USPTO in granting a patent, or may be shortened if a patent is terminally disclaimed over an earlier-filed patent.</w:t>
      </w:r>
    </w:p>
    <w:p>
      <w:pPr>
        <w:spacing w:after="0" w:line="135"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Notwithstanding these and other extensions that may be available, the life of a patent, and the protection it affords, is limited. Even if patents covering any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159"/>
          </w:cols>
          <w:pgMar w:left="300" w:top="415"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39"/>
        <w:spacing w:after="0" w:line="256" w:lineRule="auto"/>
        <w:rPr>
          <w:sz w:val="20"/>
          <w:szCs w:val="20"/>
          <w:color w:val="auto"/>
        </w:rPr>
      </w:pPr>
      <w:r>
        <w:rPr>
          <w:rFonts w:ascii="Arial" w:cs="Arial" w:eastAsia="Arial" w:hAnsi="Arial"/>
          <w:sz w:val="14"/>
          <w:szCs w:val="14"/>
          <w:color w:val="auto"/>
        </w:rPr>
        <w:t>expire before or shortly after such candidates are commercialized. As a result, our owned and licensed patent portfolio may not provide us with sufficient rights to exclude others from commercializing products similar or identical to ours. Given the expected expiration date of these patents, and the fact that safe harbor protections in many jurisdictions permit third parties to engage in development, including clinical trials, prior to patent expiry, these patents may not provide us with a meaningful competitive advantage.</w:t>
      </w:r>
    </w:p>
    <w:p>
      <w:pPr>
        <w:spacing w:after="0" w:line="224" w:lineRule="exact"/>
        <w:rPr>
          <w:sz w:val="20"/>
          <w:szCs w:val="20"/>
          <w:color w:val="auto"/>
        </w:rPr>
      </w:pPr>
    </w:p>
    <w:p>
      <w:pPr>
        <w:ind w:left="1220" w:right="339"/>
        <w:spacing w:after="0" w:line="294" w:lineRule="auto"/>
        <w:rPr>
          <w:sz w:val="20"/>
          <w:szCs w:val="20"/>
          <w:color w:val="auto"/>
        </w:rPr>
      </w:pPr>
      <w:r>
        <w:rPr>
          <w:rFonts w:ascii="Arial" w:cs="Arial" w:eastAsia="Arial" w:hAnsi="Arial"/>
          <w:sz w:val="14"/>
          <w:szCs w:val="14"/>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5" w:lineRule="exact"/>
        <w:rPr>
          <w:sz w:val="20"/>
          <w:szCs w:val="20"/>
          <w:color w:val="auto"/>
        </w:rPr>
      </w:pPr>
    </w:p>
    <w:p>
      <w:pPr>
        <w:ind w:left="1220" w:right="119" w:firstLine="353"/>
        <w:spacing w:after="0" w:line="285" w:lineRule="auto"/>
        <w:rPr>
          <w:sz w:val="20"/>
          <w:szCs w:val="20"/>
          <w:color w:val="auto"/>
        </w:rPr>
      </w:pPr>
      <w:r>
        <w:rPr>
          <w:rFonts w:ascii="Arial" w:cs="Arial" w:eastAsia="Arial" w:hAnsi="Arial"/>
          <w:sz w:val="14"/>
          <w:szCs w:val="14"/>
          <w:color w:val="auto"/>
        </w:rPr>
        <w:t>It may be necessary for us to use the patented or proprietary technology of one or more third parties to develop or commercialize our current and future product candidates, in which case we would be required to obtain a license from these third parties.</w:t>
      </w:r>
    </w:p>
    <w:p>
      <w:pPr>
        <w:spacing w:after="0" w:line="115"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If we are unable to license such technology, or if we are forced to license such technology on unfavorable terms, our business could be materially harmed. If we are unable to obtain a necessary license, or to otherwise acquire the relevant intellectual property rights, we may be unable to develop or commercialize the affected product candidates, or such development and commercialization may be delayed, which could materially harm our business. In addition,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41"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materially harm our business, financial condition, results of operations and prospects significantly.</w:t>
      </w:r>
    </w:p>
    <w:p>
      <w:pPr>
        <w:spacing w:after="0" w:line="139" w:lineRule="exact"/>
        <w:rPr>
          <w:sz w:val="20"/>
          <w:szCs w:val="20"/>
          <w:color w:val="auto"/>
        </w:rPr>
      </w:pPr>
    </w:p>
    <w:p>
      <w:pPr>
        <w:ind w:left="1220" w:right="139" w:firstLine="353"/>
        <w:spacing w:after="0" w:line="247" w:lineRule="auto"/>
        <w:rPr>
          <w:sz w:val="20"/>
          <w:szCs w:val="20"/>
          <w:color w:val="auto"/>
        </w:rPr>
      </w:pPr>
      <w:r>
        <w:rPr>
          <w:rFonts w:ascii="Arial" w:cs="Arial" w:eastAsia="Arial" w:hAnsi="Arial"/>
          <w:sz w:val="14"/>
          <w:szCs w:val="14"/>
          <w:color w:val="auto"/>
        </w:rPr>
        <w:t>Additionally, if we fail to comply with our obligations under our current and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43" w:lineRule="exact"/>
        <w:rPr>
          <w:sz w:val="20"/>
          <w:szCs w:val="20"/>
          <w:color w:val="auto"/>
        </w:rPr>
      </w:pPr>
    </w:p>
    <w:p>
      <w:pPr>
        <w:ind w:left="1220" w:right="179" w:firstLine="353"/>
        <w:spacing w:after="0" w:line="250" w:lineRule="auto"/>
        <w:rPr>
          <w:sz w:val="20"/>
          <w:szCs w:val="20"/>
          <w:color w:val="auto"/>
        </w:rPr>
      </w:pPr>
      <w:r>
        <w:rPr>
          <w:rFonts w:ascii="Arial" w:cs="Arial" w:eastAsia="Arial" w:hAnsi="Arial"/>
          <w:sz w:val="14"/>
          <w:szCs w:val="14"/>
          <w:color w:val="auto"/>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spacing w:after="0" w:line="229" w:lineRule="exact"/>
        <w:rPr>
          <w:sz w:val="20"/>
          <w:szCs w:val="20"/>
          <w:color w:val="auto"/>
        </w:rPr>
      </w:pPr>
    </w:p>
    <w:p>
      <w:pPr>
        <w:ind w:left="1220" w:right="159"/>
        <w:spacing w:after="0" w:line="268" w:lineRule="auto"/>
        <w:rPr>
          <w:sz w:val="20"/>
          <w:szCs w:val="20"/>
          <w:color w:val="auto"/>
        </w:rPr>
      </w:pPr>
      <w:r>
        <w:rPr>
          <w:rFonts w:ascii="Arial" w:cs="Arial" w:eastAsia="Arial" w:hAnsi="Arial"/>
          <w:sz w:val="14"/>
          <w:szCs w:val="14"/>
          <w:b w:val="1"/>
          <w:bCs w:val="1"/>
          <w:i w:val="1"/>
          <w:iCs w:val="1"/>
          <w:color w:val="auto"/>
        </w:rPr>
        <w:t>If we do not obtain patent term extensions in the United States under the Hatch-Waxman Act and in non-U.S. countries under similar legislation, thereby potentially limiting the term of our marketing exclusivity for any product candidates we may develop, our business may be materially harmed.</w:t>
      </w:r>
    </w:p>
    <w:p>
      <w:pPr>
        <w:spacing w:after="0" w:line="32"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the European Union and certain other non-U.S. jurisdictions to extend the term of a patent that covers an approved drug. While, in the future, if and when any product candidates receive FDA approval or equivalent approvals in foreign jurisdictions, if available, we expect to</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159"/>
          </w:cols>
          <w:pgMar w:left="300" w:top="415"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spacing w:after="0" w:line="246" w:lineRule="auto"/>
        <w:rPr>
          <w:sz w:val="20"/>
          <w:szCs w:val="20"/>
          <w:color w:val="auto"/>
        </w:rPr>
      </w:pPr>
      <w:r>
        <w:rPr>
          <w:rFonts w:ascii="Arial" w:cs="Arial" w:eastAsia="Arial" w:hAnsi="Arial"/>
          <w:sz w:val="14"/>
          <w:szCs w:val="14"/>
          <w:color w:val="auto"/>
        </w:rPr>
        <w:t>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extensions either in the United States or in any non-U.S. country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earlier than if such extension was granted as requested by us, and our business, financial condition, results of operations and prospects could be materially harmed.</w:t>
      </w:r>
    </w:p>
    <w:p>
      <w:pPr>
        <w:spacing w:after="0" w:line="146"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It is possible that we will not obtain patent term extension under the Hatch-Waxman Act for a U.S. patent covering any of any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41" w:lineRule="exact"/>
        <w:rPr>
          <w:sz w:val="20"/>
          <w:szCs w:val="20"/>
          <w:color w:val="auto"/>
        </w:rPr>
      </w:pPr>
    </w:p>
    <w:p>
      <w:pPr>
        <w:ind w:left="1220" w:right="199" w:firstLine="353"/>
        <w:spacing w:after="0" w:line="249" w:lineRule="auto"/>
        <w:rPr>
          <w:sz w:val="20"/>
          <w:szCs w:val="20"/>
          <w:color w:val="auto"/>
        </w:rPr>
      </w:pPr>
      <w:r>
        <w:rPr>
          <w:rFonts w:ascii="Arial" w:cs="Arial" w:eastAsia="Arial" w:hAnsi="Arial"/>
          <w:sz w:val="14"/>
          <w:szCs w:val="14"/>
          <w:color w:val="auto"/>
        </w:rPr>
        <w:t>Also, there are detailed rules and requirements regarding the patents that may be submitted to the FDA for listing in the Approved Drug Products with Therapeutic Equivalence Evaluations, or the Orange Book. We may be unable to obtain patents covering any product candidates that contain one or more claims that satisfy the requirements for listing in the Orange Book. Even if we submit a patent for listing in the Orange Book, the FDA may decline to list the patent, or a manufacturer of generic drugs may challenge the listing. If a product candidate is approved and a patent covering that product candidate is not listed in the Orange Book, a manufacturer of generic drugs would not have to provide advance notice to us of any abbreviated new drug application, or ANDA, filed with the FDA to obtain permission to sell a generic version of such product candidate.</w:t>
      </w:r>
    </w:p>
    <w:p>
      <w:pPr>
        <w:spacing w:after="0" w:line="229" w:lineRule="exact"/>
        <w:rPr>
          <w:sz w:val="20"/>
          <w:szCs w:val="20"/>
          <w:color w:val="auto"/>
        </w:rPr>
      </w:pPr>
    </w:p>
    <w:p>
      <w:pPr>
        <w:ind w:left="1220" w:right="559"/>
        <w:spacing w:after="0" w:line="294" w:lineRule="auto"/>
        <w:rPr>
          <w:sz w:val="20"/>
          <w:szCs w:val="20"/>
          <w:color w:val="auto"/>
        </w:rPr>
      </w:pPr>
      <w:r>
        <w:rPr>
          <w:rFonts w:ascii="Arial" w:cs="Arial" w:eastAsia="Arial" w:hAnsi="Arial"/>
          <w:sz w:val="14"/>
          <w:szCs w:val="14"/>
          <w:b w:val="1"/>
          <w:bCs w:val="1"/>
          <w:i w:val="1"/>
          <w:iCs w:val="1"/>
          <w:color w:val="auto"/>
        </w:rPr>
        <w:t>Changes to patent laws in the United States and other jurisdictions could diminish the value of patents in general, thereby impairing our ability to protect our products.</w:t>
      </w:r>
    </w:p>
    <w:p>
      <w:pPr>
        <w:spacing w:after="0" w:line="15"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307"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41"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Further, a new court system recently became operational in the European Union. The Unified Patent Court, or UPC, began accepting patent cases on June 1, 2023. The UPC is a common patent court with jurisdiction over patent infringement and revocation proceedings effective for multiple European Union member states. The broad geographic reach of the UPC could enable third parties to seek revocation of any of our European patents in a single proceeding at the UPC rather than through multiple proceedings in each of the individual European Union member states in which the</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159"/>
          </w:cols>
          <w:pgMar w:left="300" w:top="415"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39"/>
        <w:spacing w:after="0" w:line="246" w:lineRule="auto"/>
        <w:rPr>
          <w:sz w:val="20"/>
          <w:szCs w:val="20"/>
          <w:color w:val="auto"/>
        </w:rPr>
      </w:pPr>
      <w:r>
        <w:rPr>
          <w:rFonts w:ascii="Arial" w:cs="Arial" w:eastAsia="Arial" w:hAnsi="Arial"/>
          <w:sz w:val="14"/>
          <w:szCs w:val="14"/>
          <w:color w:val="auto"/>
        </w:rPr>
        <w:t>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spacing w:after="0" w:line="232" w:lineRule="exact"/>
        <w:rPr>
          <w:sz w:val="20"/>
          <w:szCs w:val="20"/>
          <w:color w:val="auto"/>
        </w:rPr>
      </w:pPr>
    </w:p>
    <w:p>
      <w:pPr>
        <w:ind w:left="1220" w:right="259"/>
        <w:spacing w:after="0" w:line="268" w:lineRule="auto"/>
        <w:rPr>
          <w:sz w:val="20"/>
          <w:szCs w:val="20"/>
          <w:color w:val="auto"/>
        </w:rPr>
      </w:pPr>
      <w:r>
        <w:rPr>
          <w:rFonts w:ascii="Arial" w:cs="Arial" w:eastAsia="Arial" w:hAnsi="Arial"/>
          <w:sz w:val="14"/>
          <w:szCs w:val="14"/>
          <w:b w:val="1"/>
          <w:bCs w:val="1"/>
          <w:i w:val="1"/>
          <w:iCs w:val="1"/>
          <w:color w:val="auto"/>
        </w:rPr>
        <w:t>We and our licensors, and any future licensors, may become involved in lawsuits to protect or enforce our patent or other intellectual property rights, which could be expensive, time-consuming and unsuccessful, and which may result in our patents being found invalid or unenforceable.</w:t>
      </w:r>
    </w:p>
    <w:p>
      <w:pPr>
        <w:spacing w:after="0" w:line="32" w:lineRule="exact"/>
        <w:rPr>
          <w:sz w:val="20"/>
          <w:szCs w:val="20"/>
          <w:color w:val="auto"/>
        </w:rPr>
      </w:pPr>
    </w:p>
    <w:p>
      <w:pPr>
        <w:ind w:left="1220" w:right="99" w:firstLine="353"/>
        <w:spacing w:after="0" w:line="244" w:lineRule="auto"/>
        <w:rPr>
          <w:sz w:val="20"/>
          <w:szCs w:val="20"/>
          <w:color w:val="auto"/>
        </w:rPr>
      </w:pPr>
      <w:r>
        <w:rPr>
          <w:rFonts w:ascii="Arial" w:cs="Arial" w:eastAsia="Arial" w:hAnsi="Arial"/>
          <w:sz w:val="14"/>
          <w:szCs w:val="14"/>
          <w:color w:val="auto"/>
        </w:rPr>
        <w:t>Competitors and other third parties may infringe, misappropriate or otherwise violate our or our current and future licensors’ issued patents or other intellectual property. As a result, we or any current or future licensors may need to file infringement, misappropriation or other intellectual property related claims, which can be expensive and time- 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non-U.S. jurisdictions (e.g., opposition proceedings). The outcome following legal assertions of invalidity and unenforceability is unpredictable, and the outcome of any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w:t>
      </w:r>
    </w:p>
    <w:p>
      <w:pPr>
        <w:spacing w:after="0" w:line="315"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40"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Interference or derivation proceedings provoked by third parties, or brought by us or by our licensors, or declared by the USPTO may be necessary to determine the priority of inventions with respect to our patents or patent applications. An unfavorable outcome in such proceedings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w:t>
      </w:r>
    </w:p>
    <w:p>
      <w:pPr>
        <w:spacing w:after="0" w:line="307" w:lineRule="exact"/>
        <w:rPr>
          <w:sz w:val="20"/>
          <w:szCs w:val="20"/>
          <w:color w:val="auto"/>
        </w:rPr>
      </w:pPr>
    </w:p>
    <w:p>
      <w:pPr>
        <w:ind w:left="1220" w:right="119" w:firstLine="353"/>
        <w:spacing w:after="0" w:line="263" w:lineRule="auto"/>
        <w:rPr>
          <w:sz w:val="20"/>
          <w:szCs w:val="20"/>
          <w:color w:val="auto"/>
        </w:rPr>
      </w:pPr>
      <w:r>
        <w:rPr>
          <w:rFonts w:ascii="Arial" w:cs="Arial" w:eastAsia="Arial" w:hAnsi="Arial"/>
          <w:sz w:val="14"/>
          <w:szCs w:val="14"/>
          <w:color w:val="auto"/>
        </w:rPr>
        <w:t>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any product candidates to market.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159"/>
          </w:cols>
          <w:pgMar w:left="300" w:top="415"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119"/>
        <w:spacing w:after="0" w:line="277" w:lineRule="auto"/>
        <w:rPr>
          <w:sz w:val="20"/>
          <w:szCs w:val="20"/>
          <w:color w:val="auto"/>
        </w:rPr>
      </w:pPr>
      <w:r>
        <w:rPr>
          <w:rFonts w:ascii="Arial" w:cs="Arial" w:eastAsia="Arial" w:hAnsi="Arial"/>
          <w:sz w:val="14"/>
          <w:szCs w:val="14"/>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200"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Our commercial success depends upon our ability and the ability of any future collaborators of ours to develop, manufacture, market and sell any product candidates we may develop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post-grant review, inter partes review, and derivation proceedings before the USPTO and similar proceedings in non-U.S. jurisdictions, such as oppositions before the European Patent Office. Numerous U.S. and non-U.S. issued patents and pending patent applications, which are owned by third parties, exist in the fields in which we are pursuing product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46"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any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4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46"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be forced to indemnify our customers or collaborators or obtain one or more licenses from third parties, which may be impossible or require substantial time and monetary expenditure.</w:t>
      </w:r>
    </w:p>
    <w:p>
      <w:pPr>
        <w:spacing w:after="0" w:line="141"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A finding of infringement could prevent us from commercializing any product candidates or force us to cease some of our business operations, which could materially harm our business. In addition, we may be forced to redesign any product candidates, seek new marketing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159"/>
          </w:cols>
          <w:pgMar w:left="300" w:top="415"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379"/>
        <w:spacing w:after="0" w:line="294" w:lineRule="auto"/>
        <w:rPr>
          <w:sz w:val="20"/>
          <w:szCs w:val="20"/>
          <w:color w:val="auto"/>
        </w:rPr>
      </w:pPr>
      <w:r>
        <w:rPr>
          <w:rFonts w:ascii="Arial" w:cs="Arial" w:eastAsia="Arial" w:hAnsi="Arial"/>
          <w:sz w:val="14"/>
          <w:szCs w:val="14"/>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15"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Litigation or other legal proceedings relating to intellectual property claims, with or without merit, are unpredictable and generally expensive and time-consuming.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32" w:lineRule="exact"/>
        <w:rPr>
          <w:sz w:val="20"/>
          <w:szCs w:val="20"/>
          <w:color w:val="auto"/>
        </w:rPr>
      </w:pPr>
    </w:p>
    <w:p>
      <w:pPr>
        <w:ind w:left="1220" w:right="479"/>
        <w:spacing w:after="0" w:line="268"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32" w:lineRule="exact"/>
        <w:rPr>
          <w:sz w:val="20"/>
          <w:szCs w:val="20"/>
          <w:color w:val="auto"/>
        </w:rPr>
      </w:pPr>
    </w:p>
    <w:p>
      <w:pPr>
        <w:ind w:left="1220" w:right="219" w:firstLine="353"/>
        <w:spacing w:after="0" w:line="245" w:lineRule="auto"/>
        <w:rPr>
          <w:sz w:val="20"/>
          <w:szCs w:val="20"/>
          <w:color w:val="auto"/>
        </w:rPr>
      </w:pPr>
      <w:r>
        <w:rPr>
          <w:rFonts w:ascii="Arial" w:cs="Arial" w:eastAsia="Arial" w:hAnsi="Arial"/>
          <w:sz w:val="14"/>
          <w:szCs w:val="14"/>
          <w:color w:val="auto"/>
        </w:rPr>
        <w:t>Periodic maintenance, renewal and annuity fees and various other government fees on any issued patent and pending patent application must be paid to the USPTO and non-U.S. patent agencies in several stages or annually over the lifetime of our owned and in-licensed patents and patent applications. The USPTO and various non-U.S. patent agencies also require compliance with a number of procedural, documentary and other similar provisions during the patent application process.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current or future licensors fail to maintain the patents and patent applications covering any product candidates, it may have a material adverse effect on our business, financial condition, results of operations and prospects.</w:t>
      </w:r>
    </w:p>
    <w:p>
      <w:pPr>
        <w:spacing w:after="0" w:line="237"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and proprietary rights throughout the world.</w:t>
      </w:r>
    </w:p>
    <w:p>
      <w:pPr>
        <w:spacing w:after="0" w:line="8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Filing, prosecuting and defending patents on product candidates in all countries throughout the world would be prohibitively expensive, and the laws of non-U.S. countries may not protect our rights to the same extent as the laws of the United States. In addition, the laws of some non-U.S.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46"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non-U.S. jurisdictions. The legal systems of certain countries do not favor the enforcement of patents, trade secrets, and other intellectual property rights,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Proceedings to enforce our intellectual property and proprietary rights in non-U.S.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Many countries have compulsory licensing laws under</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159"/>
          </w:cols>
          <w:pgMar w:left="300" w:top="415"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spacing w:after="0" w:line="252" w:lineRule="auto"/>
        <w:rPr>
          <w:sz w:val="20"/>
          <w:szCs w:val="20"/>
          <w:color w:val="auto"/>
        </w:rPr>
      </w:pPr>
      <w:r>
        <w:rPr>
          <w:rFonts w:ascii="Arial" w:cs="Arial" w:eastAsia="Arial" w:hAnsi="Arial"/>
          <w:sz w:val="14"/>
          <w:szCs w:val="14"/>
          <w:color w:val="auto"/>
        </w:rPr>
        <w:t>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28"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be subject to claims challenging the inventorship or ownership of our patents and other intellectual property.</w:t>
      </w:r>
    </w:p>
    <w:p>
      <w:pPr>
        <w:spacing w:after="0" w:line="86" w:lineRule="exact"/>
        <w:rPr>
          <w:sz w:val="20"/>
          <w:szCs w:val="20"/>
          <w:color w:val="auto"/>
        </w:rPr>
      </w:pPr>
    </w:p>
    <w:p>
      <w:pPr>
        <w:ind w:left="1220" w:right="139" w:firstLine="353"/>
        <w:spacing w:after="0" w:line="247" w:lineRule="auto"/>
        <w:rPr>
          <w:sz w:val="20"/>
          <w:szCs w:val="20"/>
          <w:color w:val="auto"/>
        </w:rPr>
      </w:pPr>
      <w:r>
        <w:rPr>
          <w:rFonts w:ascii="Arial" w:cs="Arial" w:eastAsia="Arial" w:hAnsi="Arial"/>
          <w:sz w:val="14"/>
          <w:szCs w:val="14"/>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any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any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31" w:lineRule="exact"/>
        <w:rPr>
          <w:sz w:val="20"/>
          <w:szCs w:val="20"/>
          <w:color w:val="auto"/>
        </w:rPr>
      </w:pPr>
    </w:p>
    <w:p>
      <w:pPr>
        <w:ind w:left="1220" w:right="139"/>
        <w:spacing w:after="0" w:line="259" w:lineRule="auto"/>
        <w:rPr>
          <w:sz w:val="20"/>
          <w:szCs w:val="20"/>
          <w:color w:val="auto"/>
        </w:rPr>
      </w:pPr>
      <w:r>
        <w:rPr>
          <w:rFonts w:ascii="Arial" w:cs="Arial" w:eastAsia="Arial" w:hAnsi="Arial"/>
          <w:sz w:val="14"/>
          <w:szCs w:val="14"/>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39" w:lineRule="exact"/>
        <w:rPr>
          <w:sz w:val="20"/>
          <w:szCs w:val="20"/>
          <w:color w:val="auto"/>
        </w:rPr>
      </w:pPr>
    </w:p>
    <w:p>
      <w:pPr>
        <w:ind w:left="1220" w:right="259" w:firstLine="353"/>
        <w:spacing w:after="0" w:line="252" w:lineRule="auto"/>
        <w:rPr>
          <w:sz w:val="20"/>
          <w:szCs w:val="20"/>
          <w:color w:val="auto"/>
        </w:rPr>
      </w:pPr>
      <w:r>
        <w:rPr>
          <w:rFonts w:ascii="Arial" w:cs="Arial" w:eastAsia="Arial" w:hAnsi="Arial"/>
          <w:sz w:val="14"/>
          <w:szCs w:val="14"/>
          <w:color w:val="auto"/>
        </w:rPr>
        <w:t>Certain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39" w:lineRule="exact"/>
        <w:rPr>
          <w:sz w:val="20"/>
          <w:szCs w:val="20"/>
          <w:color w:val="auto"/>
        </w:rPr>
      </w:pPr>
    </w:p>
    <w:p>
      <w:pPr>
        <w:ind w:left="1220" w:right="179" w:firstLine="353"/>
        <w:spacing w:after="0" w:line="247" w:lineRule="auto"/>
        <w:rPr>
          <w:sz w:val="20"/>
          <w:szCs w:val="20"/>
          <w:color w:val="auto"/>
        </w:rPr>
      </w:pPr>
      <w:r>
        <w:rPr>
          <w:rFonts w:ascii="Arial" w:cs="Arial" w:eastAsia="Arial" w:hAnsi="Arial"/>
          <w:sz w:val="14"/>
          <w:szCs w:val="14"/>
          <w:color w:val="auto"/>
        </w:rPr>
        <w:t>In addition, while it is our policy to require that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even when we obtain agreements assigning intellectual property to us, such intellectual property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Such claims could have a material adverse effect on our business, financial conditions, results of operations and prospects.</w:t>
      </w:r>
    </w:p>
    <w:p>
      <w:pPr>
        <w:spacing w:after="0" w:line="143"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In addition, we or our licensors may in the future be subject to claims by former employees, consultants or other third parties asserting an ownership right in our owned or licensed patents or patent applications. An adverse determination in any such claim or proceeding may result in loss of exclusivity or freedom to operate or in patent claims being narrowed, invalidated or held unenforceable, in whole or in part, which could limit our ability to stop others from using or commercializing similar technology and product candidates. Such challenges may also result in our inability to develop, manufacture or commercialize technology and product candidates infringing third-party patent rights. Any of the foregoing could have a material adverse effect on our business, financial condition, results of operations and prospects.</w:t>
      </w:r>
    </w:p>
    <w:p>
      <w:pPr>
        <w:spacing w:after="0" w:line="307"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159"/>
          </w:cols>
          <w:pgMar w:left="300" w:top="415"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539"/>
        <w:spacing w:after="0" w:line="294" w:lineRule="auto"/>
        <w:rPr>
          <w:sz w:val="20"/>
          <w:szCs w:val="20"/>
          <w:color w:val="auto"/>
        </w:rPr>
      </w:pPr>
      <w:r>
        <w:rPr>
          <w:rFonts w:ascii="Arial" w:cs="Arial" w:eastAsia="Arial" w:hAnsi="Arial"/>
          <w:sz w:val="14"/>
          <w:szCs w:val="14"/>
          <w:b w:val="1"/>
          <w:bCs w:val="1"/>
          <w:i w:val="1"/>
          <w:iCs w:val="1"/>
          <w:color w:val="auto"/>
        </w:rPr>
        <w:t>If we are unable to protect the confidentiality of our proprietary information, our business and competitive position may be harmed.</w:t>
      </w:r>
    </w:p>
    <w:p>
      <w:pPr>
        <w:spacing w:after="0" w:line="15" w:lineRule="exact"/>
        <w:rPr>
          <w:sz w:val="20"/>
          <w:szCs w:val="20"/>
          <w:color w:val="auto"/>
        </w:rPr>
      </w:pPr>
    </w:p>
    <w:p>
      <w:pPr>
        <w:ind w:left="1220" w:right="239" w:firstLine="353"/>
        <w:spacing w:after="0" w:line="245" w:lineRule="auto"/>
        <w:rPr>
          <w:sz w:val="20"/>
          <w:szCs w:val="20"/>
          <w:color w:val="auto"/>
        </w:rPr>
      </w:pPr>
      <w:r>
        <w:rPr>
          <w:rFonts w:ascii="Arial" w:cs="Arial" w:eastAsia="Arial" w:hAnsi="Arial"/>
          <w:sz w:val="14"/>
          <w:szCs w:val="14"/>
          <w:color w:val="auto"/>
        </w:rPr>
        <w:t>In addition to seeking patents for any product candidates, we also rely on confidentiality agreements to protect our unpatented know-how, technology and other proprietary information, to maintain our competitive position. We seek to protect our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proprietary technology. Despite these efforts, any of these parties may breach the agreements and disclose our proprietary information and we may not be able to obtain adequate remedies for such breaches. We may also rely on trade secrets to maintain our competitive position.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may be materially and adversely harmed.</w:t>
      </w:r>
    </w:p>
    <w:p>
      <w:pPr>
        <w:spacing w:after="0" w:line="233" w:lineRule="exact"/>
        <w:rPr>
          <w:sz w:val="20"/>
          <w:szCs w:val="20"/>
          <w:color w:val="auto"/>
        </w:rPr>
      </w:pPr>
    </w:p>
    <w:p>
      <w:pPr>
        <w:ind w:left="1220" w:right="559"/>
        <w:spacing w:after="0" w:line="294"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w:t>
      </w:r>
    </w:p>
    <w:p>
      <w:pPr>
        <w:spacing w:after="0" w:line="15"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Our future trademark applications in the United States and in foreign jurisdictions may not be allowed or may subsequently be opposed. Once filed and registered, our trademarks or trade names may be challenged, infringed, circumvented or declared generic or determined to be infringing on other marks. As a means to enforce our trademark rights and prevent infringement, we may be required to file trademark claims against third parties or initiate trademark opposition proceedings. This can be expensive and time-consuming.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Any of the foregoing could have a material adverse effect on our business, financial condition, results of operations and prospects.</w:t>
      </w:r>
    </w:p>
    <w:p>
      <w:pPr>
        <w:spacing w:after="0" w:line="40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w:t>
      </w:r>
    </w:p>
    <w:p>
      <w:pPr>
        <w:spacing w:after="0" w:line="86" w:lineRule="exact"/>
        <w:rPr>
          <w:sz w:val="20"/>
          <w:szCs w:val="20"/>
          <w:color w:val="auto"/>
        </w:rPr>
      </w:pPr>
    </w:p>
    <w:p>
      <w:pPr>
        <w:ind w:left="1220" w:right="499" w:firstLine="353"/>
        <w:spacing w:after="0" w:line="285"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40" w:lineRule="exact"/>
        <w:rPr>
          <w:sz w:val="20"/>
          <w:szCs w:val="20"/>
          <w:color w:val="auto"/>
        </w:rPr>
      </w:pPr>
    </w:p>
    <w:p>
      <w:pPr>
        <w:ind w:left="2000" w:right="27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others may be able to make product candidates that are similar to ours but that are not covered by the claims of the patents that we own or license;</w:t>
      </w:r>
    </w:p>
    <w:p>
      <w:pPr>
        <w:spacing w:after="0" w:line="39" w:lineRule="exact"/>
        <w:rPr>
          <w:rFonts w:ascii="Arial" w:cs="Arial" w:eastAsia="Arial" w:hAnsi="Arial"/>
          <w:sz w:val="14"/>
          <w:szCs w:val="14"/>
          <w:color w:val="auto"/>
        </w:rPr>
      </w:pPr>
    </w:p>
    <w:p>
      <w:pPr>
        <w:ind w:left="2000" w:right="43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or our licensors or current or future collaborators, might not have been the first to make the inventions covered by the issued patent or pending patent applications that we own or license;</w:t>
      </w:r>
    </w:p>
    <w:p>
      <w:pPr>
        <w:spacing w:after="0" w:line="39"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or our licensors or current or future collaborators, might not have been the first to file patent applications covering certain of our or their inventions;</w:t>
      </w:r>
    </w:p>
    <w:p>
      <w:pPr>
        <w:spacing w:after="0" w:line="39" w:lineRule="exact"/>
        <w:rPr>
          <w:rFonts w:ascii="Arial" w:cs="Arial" w:eastAsia="Arial" w:hAnsi="Arial"/>
          <w:sz w:val="14"/>
          <w:szCs w:val="14"/>
          <w:color w:val="auto"/>
        </w:rPr>
      </w:pPr>
    </w:p>
    <w:p>
      <w:pPr>
        <w:ind w:left="2000" w:right="51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our technologies without infringing our owned or in-licensed intellectual property rights;</w:t>
      </w:r>
    </w:p>
    <w:p>
      <w:pPr>
        <w:spacing w:after="0" w:line="39" w:lineRule="exact"/>
        <w:rPr>
          <w:rFonts w:ascii="Arial" w:cs="Arial" w:eastAsia="Arial" w:hAnsi="Arial"/>
          <w:sz w:val="14"/>
          <w:szCs w:val="14"/>
          <w:color w:val="auto"/>
        </w:rPr>
      </w:pPr>
    </w:p>
    <w:p>
      <w:pPr>
        <w:jc w:val="both"/>
        <w:ind w:left="2000" w:right="299" w:hanging="338"/>
        <w:spacing w:after="0" w:line="263"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others may circumvent our regulatory exclusivities, such as by pursuing approval of a competitive product via the traditional approval pathway based on their own clinical data, rather than relying on the abbreviated pathway provided for biosimilar or generic applicants;</w:t>
      </w:r>
    </w:p>
    <w:p>
      <w:pPr>
        <w:spacing w:after="0" w:line="55" w:lineRule="exact"/>
        <w:rPr>
          <w:rFonts w:ascii="Arial" w:cs="Arial" w:eastAsia="Arial" w:hAnsi="Arial"/>
          <w:sz w:val="14"/>
          <w:szCs w:val="14"/>
          <w:color w:val="auto"/>
        </w:rPr>
      </w:pPr>
    </w:p>
    <w:p>
      <w:pPr>
        <w:ind w:left="2000" w:right="29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it is possible that our owned and in-licensed pending patent applications or those we may own or in-license in the future will not lead to issued patents;</w:t>
      </w:r>
    </w:p>
    <w:p>
      <w:pPr>
        <w:spacing w:after="0" w:line="39" w:lineRule="exact"/>
        <w:rPr>
          <w:rFonts w:ascii="Arial" w:cs="Arial" w:eastAsia="Arial" w:hAnsi="Arial"/>
          <w:sz w:val="14"/>
          <w:szCs w:val="14"/>
          <w:color w:val="auto"/>
        </w:rPr>
      </w:pPr>
    </w:p>
    <w:p>
      <w:pPr>
        <w:ind w:left="2000" w:right="319" w:hanging="338"/>
        <w:spacing w:after="0" w:line="285" w:lineRule="auto"/>
        <w:tabs>
          <w:tab w:leader="none" w:pos="20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issued patents that we hold rights to now or in the future may be held invalid or unenforceable, including as a result of legal challenges by our competitors;</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159"/>
          </w:cols>
          <w:pgMar w:left="300" w:top="415"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right="259" w:hanging="338"/>
        <w:spacing w:after="0" w:line="263"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55" w:lineRule="exact"/>
        <w:rPr>
          <w:rFonts w:ascii="Arial" w:cs="Arial" w:eastAsia="Arial" w:hAnsi="Arial"/>
          <w:sz w:val="14"/>
          <w:szCs w:val="14"/>
          <w:color w:val="auto"/>
        </w:rPr>
      </w:pPr>
    </w:p>
    <w:p>
      <w:pPr>
        <w:ind w:left="2000" w:right="23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need to initiate litigation or administrative proceedings to enforce and/or defend our patent rights which will be costly and time consuming regardless of outcome;</w:t>
      </w:r>
    </w:p>
    <w:p>
      <w:pPr>
        <w:spacing w:after="0" w:line="39" w:lineRule="exact"/>
        <w:rPr>
          <w:rFonts w:ascii="Arial" w:cs="Arial" w:eastAsia="Arial" w:hAnsi="Arial"/>
          <w:sz w:val="14"/>
          <w:szCs w:val="14"/>
          <w:color w:val="auto"/>
        </w:rPr>
      </w:pPr>
    </w:p>
    <w:p>
      <w:pPr>
        <w:ind w:left="2000" w:right="51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patents of third parties or pending or future applications of third parties, if issued, may have an adverse effect on our business;</w:t>
      </w:r>
    </w:p>
    <w:p>
      <w:pPr>
        <w:spacing w:after="0" w:line="39" w:lineRule="exact"/>
        <w:rPr>
          <w:rFonts w:ascii="Arial" w:cs="Arial" w:eastAsia="Arial" w:hAnsi="Arial"/>
          <w:sz w:val="14"/>
          <w:szCs w:val="14"/>
          <w:color w:val="auto"/>
        </w:rPr>
      </w:pPr>
    </w:p>
    <w:p>
      <w:pPr>
        <w:ind w:left="2000" w:right="33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cannot ensure that any of our patents, or any of our pending patent applications, if issued, or those of our licensors, will include claims having a scope sufficient to protect any product candidates;</w:t>
      </w:r>
    </w:p>
    <w:p>
      <w:pPr>
        <w:spacing w:after="0" w:line="39" w:lineRule="exact"/>
        <w:rPr>
          <w:rFonts w:ascii="Arial" w:cs="Arial" w:eastAsia="Arial" w:hAnsi="Arial"/>
          <w:sz w:val="14"/>
          <w:szCs w:val="14"/>
          <w:color w:val="auto"/>
        </w:rPr>
      </w:pPr>
    </w:p>
    <w:p>
      <w:pPr>
        <w:ind w:left="2000" w:right="27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cannot ensure that any patents issued to us or our current or future licensors will provide a basis for an exclusive market for our commercially viable product candidates or will provide us with any competitive advantages;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cannot ensure that our commercial activities or product candidates will not infringe upon the patents of others;</w:t>
      </w:r>
    </w:p>
    <w:p>
      <w:pPr>
        <w:spacing w:after="0" w:line="98" w:lineRule="exact"/>
        <w:rPr>
          <w:rFonts w:ascii="Arial" w:cs="Arial" w:eastAsia="Arial" w:hAnsi="Arial"/>
          <w:sz w:val="14"/>
          <w:szCs w:val="14"/>
          <w:color w:val="auto"/>
        </w:rPr>
      </w:pPr>
    </w:p>
    <w:p>
      <w:pPr>
        <w:ind w:left="2000" w:right="69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cannot ensure that we will be able to successfully commercialize any product candidates on a substantial scale, if approved, before the relevant patents that we own or license expire;</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patents of others may harm our business; and</w:t>
      </w:r>
    </w:p>
    <w:p>
      <w:pPr>
        <w:spacing w:after="0" w:line="98"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may choose not to file a patent in order to maintain certain technology as trade secrets or know-how, and a third party may subsequently file a patent application covering such technology.</w:t>
      </w:r>
    </w:p>
    <w:p>
      <w:pPr>
        <w:spacing w:after="0" w:line="115" w:lineRule="exact"/>
        <w:rPr>
          <w:sz w:val="20"/>
          <w:szCs w:val="20"/>
          <w:color w:val="auto"/>
        </w:rPr>
      </w:pPr>
    </w:p>
    <w:p>
      <w:pPr>
        <w:ind w:left="1220" w:right="799" w:firstLine="353"/>
        <w:spacing w:after="0" w:line="285" w:lineRule="auto"/>
        <w:rPr>
          <w:sz w:val="20"/>
          <w:szCs w:val="20"/>
          <w:color w:val="auto"/>
        </w:rPr>
      </w:pPr>
      <w:r>
        <w:rPr>
          <w:rFonts w:ascii="Arial" w:cs="Arial" w:eastAsia="Arial" w:hAnsi="Arial"/>
          <w:sz w:val="14"/>
          <w:szCs w:val="14"/>
          <w:color w:val="auto"/>
        </w:rPr>
        <w:t>Should any of these events occur, they could have a material adverse effect on our business, financial condition, results of operations and prospects.</w:t>
      </w:r>
    </w:p>
    <w:p>
      <w:pPr>
        <w:spacing w:after="0" w:line="202"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Marketing Approval of Our Product Candidates and Other Legal Compliance Matters</w:t>
      </w:r>
    </w:p>
    <w:p>
      <w:pPr>
        <w:spacing w:after="0" w:line="90" w:lineRule="exact"/>
        <w:rPr>
          <w:sz w:val="20"/>
          <w:szCs w:val="20"/>
          <w:color w:val="auto"/>
        </w:rPr>
      </w:pPr>
    </w:p>
    <w:p>
      <w:pPr>
        <w:ind w:left="1220" w:right="219"/>
        <w:spacing w:after="0" w:line="259" w:lineRule="auto"/>
        <w:rPr>
          <w:sz w:val="20"/>
          <w:szCs w:val="20"/>
          <w:color w:val="auto"/>
        </w:rPr>
      </w:pPr>
      <w:r>
        <w:rPr>
          <w:rFonts w:ascii="Arial" w:cs="Arial" w:eastAsia="Arial" w:hAnsi="Arial"/>
          <w:sz w:val="14"/>
          <w:szCs w:val="14"/>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As a result, we cannot predict when or if, and in which territories, we will obtain marketing approval to commercialize a product candidate.</w:t>
      </w:r>
    </w:p>
    <w:p>
      <w:pPr>
        <w:spacing w:after="0" w:line="39"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The research, testing, manufacturing, labeling, approval, selling, marketing, promotion and distribution of products are subject to extensive regulation by the FDA, EMA and comparable regulatory authorities in other jurisdictions. We are not permitted to market our product candidates in the United States, the European Union or in other jurisdictions until we receive approval of a BLA from the FDA or marketing approval from the European Union or other applicable regulatory authorities. Our product candidates are in various stages of development and are subject to the risks of failure inherent in development. We have not submitted an application for or received marketing approval for any of our product candidates in the United States, the European Union or in any other jurisdiction. Additionally, we have no experience as a company in filing and supporting the applications necessary to gain marketing approvals and expect to rely on third-party CROs to assist us in this process.</w:t>
      </w:r>
    </w:p>
    <w:p>
      <w:pPr>
        <w:spacing w:after="0" w:line="141" w:lineRule="exact"/>
        <w:rPr>
          <w:sz w:val="20"/>
          <w:szCs w:val="20"/>
          <w:color w:val="auto"/>
        </w:rPr>
      </w:pPr>
    </w:p>
    <w:p>
      <w:pPr>
        <w:ind w:left="1220" w:right="179" w:firstLine="353"/>
        <w:spacing w:after="0" w:line="249" w:lineRule="auto"/>
        <w:rPr>
          <w:sz w:val="20"/>
          <w:szCs w:val="20"/>
          <w:color w:val="auto"/>
        </w:rPr>
      </w:pPr>
      <w:r>
        <w:rPr>
          <w:rFonts w:ascii="Arial" w:cs="Arial" w:eastAsia="Arial" w:hAnsi="Arial"/>
          <w:sz w:val="14"/>
          <w:szCs w:val="14"/>
          <w:color w:val="auto"/>
        </w:rPr>
        <w:t>The process of obtaining marketing approvals, both in the United States, the European Union and in other jurisdictions, is lengthy, expensive and uncertain.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including manufacturing information, to regulatory authorities for each therapeutic indication to establish the product candidate’s safety, potency and purity. The FDA or other regulatory authorities may determine that our product candidates are not safe, potent or pure, only moderately effective or have undesirable or unintended side effects, toxicities or other characteristics that preclude our obtaining marketing approval or prevent or limit commercial use.</w:t>
      </w:r>
    </w:p>
    <w:p>
      <w:pPr>
        <w:spacing w:after="0" w:line="140"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Moreover, principal investigators for our clinical trials may serve as scientific advisors or consultants to us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applicable, and may ultimately lead to the denial of marketing approval of one or more of our product candidates.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159"/>
          </w:cols>
          <w:pgMar w:left="300" w:top="415"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Further, under the Pediatric Research Equity Act of 2003, or PREA, a BLA or supplement thereto must contain data that are adequate to assess the safety, potency and purity of the product for the claimed indications in all relevant pediatric subpopulations and to support dosing and administration for each pediatric subpopulation for which the product is safe, potent or pure, unless granted a deferral or waiver. A deferral may be granted for several reasons, including a finding that the product or therapeutic candidate is ready for approval for use in adults before pediatric trials are complete or that additional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Pediatric Committee. For any of our product candidates for which we are seeking marketing approval in the United States or the European Union,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308" w:lineRule="exact"/>
        <w:rPr>
          <w:sz w:val="20"/>
          <w:szCs w:val="20"/>
          <w:color w:val="auto"/>
        </w:rPr>
      </w:pPr>
    </w:p>
    <w:p>
      <w:pPr>
        <w:ind w:left="1220" w:right="99" w:firstLine="353"/>
        <w:spacing w:after="0" w:line="248" w:lineRule="auto"/>
        <w:rPr>
          <w:sz w:val="20"/>
          <w:szCs w:val="20"/>
          <w:color w:val="auto"/>
        </w:rPr>
      </w:pPr>
      <w:r>
        <w:rPr>
          <w:rFonts w:ascii="Arial" w:cs="Arial" w:eastAsia="Arial" w:hAnsi="Arial"/>
          <w:sz w:val="14"/>
          <w:szCs w:val="14"/>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For example, in December 2022, with the passage of the Food and Drug Omnibus Reform Act, or FDORA, Congress required sponsors to develop and submit a diversity action plan, or DAP, for each Phase 3 clinical trial or any other “pivotal study” of a new drug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w:t>
      </w:r>
    </w:p>
    <w:p>
      <w:pPr>
        <w:spacing w:after="0" w:line="141"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On January 27, 2025, in response to an Executive Order issued by President Trump on January 21, 2025, relating to Diversity, Equity and Inclusion programs, the FDA removed the draft DAP guidance from its website. That action, along with similar actions by the Trump Administration to remove many other healthcare webpages, is currently the subject of ongoing litigation. In late July 2025, pursuant to a court order, the FDA restored the draft DAP guidance to its website with a statement that “information on this page may be modified and/or removed in the future subject to the terms of the court’s order and implemented consistent with applicable law.” Accordingly, in light of these ongoing actions, there is considerable uncertainty surrounding the draft DAP guidance and how the FDA will consider diversity action plans in connection with its review of BLAs.</w:t>
      </w:r>
    </w:p>
    <w:p>
      <w:pPr>
        <w:spacing w:after="0" w:line="140"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Further, in January 2022, the new Clinical Trials Regulation (EU) No 536/2014, or CTR, became effective in the European Union and replaced the prior Clinical Trials Directive 2001/20/EC. This regulation aims at simplifying and streamlining the authorization, conduct and transparency of clinical trials in the European Union. Under the coordinated procedure for the approval of clinical trials, the sponsor of a clinical trial to be conducted in more than one European Union member state is only required to submit a single application for approval by each applicable European Union member state. The submission will be made through the Clinical Trials Information System, a clinical trials portal overseen by the EMA and available to clinical trial sponsors, competent authorities of the European Union member states and the public. While the CTR has been in place for several years, and applied to all clinical studies in the European Union as of January 31, 2025, we will need to carefully navigate our compliance with the CTR to ensure that it does not delay our ability to commence and conduct clinical studies in the European Union.</w:t>
      </w:r>
    </w:p>
    <w:p>
      <w:pPr>
        <w:spacing w:after="0" w:line="143" w:lineRule="exact"/>
        <w:rPr>
          <w:sz w:val="20"/>
          <w:szCs w:val="20"/>
          <w:color w:val="auto"/>
        </w:rPr>
      </w:pPr>
    </w:p>
    <w:p>
      <w:pPr>
        <w:ind w:left="1220" w:right="219" w:firstLine="353"/>
        <w:spacing w:after="0" w:line="246" w:lineRule="auto"/>
        <w:rPr>
          <w:sz w:val="20"/>
          <w:szCs w:val="20"/>
          <w:color w:val="auto"/>
        </w:rPr>
      </w:pPr>
      <w:r>
        <w:rPr>
          <w:rFonts w:ascii="Arial" w:cs="Arial" w:eastAsia="Arial" w:hAnsi="Arial"/>
          <w:sz w:val="14"/>
          <w:szCs w:val="14"/>
          <w:color w:val="auto"/>
        </w:rPr>
        <w:t>In addition, the FDA may determine that we must provide additional evidence and data before approving a BLA for any of our product candidates. For example, the novel nature of our product candidates may create further challenges in obtaining regulatory approval. That may be because: sutacimig is a bispecific antibody with a novel mechanism targeting Factor VII to activated platelets via TLT-1, which has not been previously exploited therapeutically, and regulatory authorities may have limited experience reviewing similar mechanisms and may require additional data to support approval; our product candidates target bleeding disorders where traditional clinical trial designs and endpoints used in more common bleeding disorders (such as hemophilia A and B) may not be fully applicable or validated; for Glanzmann thrombasthenia and Factor VII deficiency, there are no approved prophylactic therapies, so we cannot rely on precedent for endpoint selection, trial design, or benefit-risk assessment; and for Von Willebrand Disease, we will need to demonstrate that increasing endogenous VWF and Factor VIII levels translates to clinically meaningful bleeding reduction, which may require longer-term trials with bleed rate endpoints.</w:t>
      </w:r>
    </w:p>
    <w:p>
      <w:pPr>
        <w:spacing w:after="0" w:line="146"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The FDA reviews an application to determine whether there is “substantial evidence” to support a finding of effectiveness for the proposed product for its intended use(s). The FDA has interpreted this evidentiary standard to generally require two adequate and well-controlled clinical trials to establish effectiveness of a new product. Under certain circumstances, however, the FDA has indicated that a single trial with certain characteristics and additional information may satisfy this standard. The FDA issued draft guidance in September 2023 that outlines considerations for relying on confirmatory evidence in lieu of a second clinical trial to demonstrate efficacy. The FDA has not yet finalized such guidance but, in February 2026, the Commissioner of the FDA and the Director of the FDA’s Center for Biologics Evaluation and Research published an editorial in the New England Journal of Medicine in which they declared that, in</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159"/>
          </w:cols>
          <w:pgMar w:left="300" w:top="415"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spacing w:after="0" w:line="245" w:lineRule="auto"/>
        <w:rPr>
          <w:sz w:val="20"/>
          <w:szCs w:val="20"/>
          <w:color w:val="auto"/>
        </w:rPr>
      </w:pPr>
      <w:r>
        <w:rPr>
          <w:rFonts w:ascii="Arial" w:cs="Arial" w:eastAsia="Arial" w:hAnsi="Arial"/>
          <w:sz w:val="14"/>
          <w:szCs w:val="14"/>
          <w:color w:val="auto"/>
        </w:rPr>
        <w:t>most cases, the new default requirement for FDA approval of a new product will be one robust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While the FDA has long had authority to approve new products in this manner and, in recent years, has exercised that authority with respect to certain types of products, the publication declares that this will be the new official default standard for most new products. This approach will reportedly be implemented as the FDA places a greater emphasis on collecting robust post-marketing data on all pharmaceutical products. At this point, it is unclear how this new policy will be implemented by the FDA and how, if at all, it will affect our clinical development programs. Moreover, although we are planning to conduct a multinational, multicenter, Phase 3, single-arm, open-label clinical trial evaluating sutacimig as a prophylactic therapy in adults with Glanzmann thrombasthenia, the FDA may determine that a randomized controlled clinical trial is necessary to support filing and approval of our BLA. We intend to schedule a Type D meeting with the FDA in the coming months to obtain the FDA’s feedback on, and seek alignment regarding, our proposed Phase 3 trial design. A Type D meeting is intended to facilitate focused discussion on a limited number of specific issues, but there can be no assurance that the FDA will agree with our proposed approach. Our failure to timely agree with the FDA on the design of our planned Phase 3 clinical trial may lead to delays in its initiation and completion.</w:t>
      </w:r>
    </w:p>
    <w:p>
      <w:pPr>
        <w:spacing w:after="0" w:line="145"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Regulatory authorities have substantial discretion in the approval process and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307"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 xml:space="preserve">We could also be adversely affected by several significant administrative law cases decided by the U.S. Supreme Court in 2024. In </w:t>
      </w:r>
      <w:r>
        <w:rPr>
          <w:rFonts w:ascii="Arial" w:cs="Arial" w:eastAsia="Arial" w:hAnsi="Arial"/>
          <w:sz w:val="14"/>
          <w:szCs w:val="14"/>
          <w:i w:val="1"/>
          <w:iCs w:val="1"/>
          <w:color w:val="auto"/>
        </w:rPr>
        <w:t>Loper Bright Enterprises v. Raimondo</w:t>
      </w:r>
      <w:r>
        <w:rPr>
          <w:rFonts w:ascii="Arial" w:cs="Arial" w:eastAsia="Arial" w:hAnsi="Arial"/>
          <w:sz w:val="14"/>
          <w:szCs w:val="14"/>
          <w:color w:val="auto"/>
        </w:rPr>
        <w:t>, for example, the court overruled</w:t>
      </w:r>
      <w:r>
        <w:rPr>
          <w:rFonts w:ascii="Arial" w:cs="Arial" w:eastAsia="Arial" w:hAnsi="Arial"/>
          <w:sz w:val="14"/>
          <w:szCs w:val="14"/>
          <w:i w:val="1"/>
          <w:iCs w:val="1"/>
          <w:color w:val="auto"/>
        </w:rPr>
        <w:t xml:space="preserve"> Chevron U.S.A., Inc. v. Natural Resources Defense Council, Inc.</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the FDA acted within its statutory authority under the Administrative Procedure Act, or APA. Additionally, in </w:t>
      </w:r>
      <w:r>
        <w:rPr>
          <w:rFonts w:ascii="Arial" w:cs="Arial" w:eastAsia="Arial" w:hAnsi="Arial"/>
          <w:sz w:val="14"/>
          <w:szCs w:val="14"/>
          <w:i w:val="1"/>
          <w:iCs w:val="1"/>
          <w:color w:val="auto"/>
        </w:rPr>
        <w:t>Corner Post, Inc. v. Board of Governors of the Federal Reserve System</w:t>
      </w:r>
      <w:r>
        <w:rPr>
          <w:rFonts w:ascii="Arial" w:cs="Arial" w:eastAsia="Arial" w:hAnsi="Arial"/>
          <w:sz w:val="14"/>
          <w:szCs w:val="14"/>
          <w:color w:val="auto"/>
        </w:rPr>
        <w:t xml:space="preserve">, the U.S. Supreme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Arial" w:cs="Arial" w:eastAsia="Arial" w:hAnsi="Arial"/>
          <w:sz w:val="14"/>
          <w:szCs w:val="14"/>
          <w:i w:val="1"/>
          <w:iCs w:val="1"/>
          <w:color w:val="auto"/>
        </w:rPr>
        <w:t>Securities and Exchange Commission v. Jarkesy</w:t>
      </w:r>
      <w:r>
        <w:rPr>
          <w:rFonts w:ascii="Arial" w:cs="Arial" w:eastAsia="Arial" w:hAnsi="Arial"/>
          <w:sz w:val="14"/>
          <w:szCs w:val="14"/>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the Center for Medicare &amp; Medicaid Services, or CMS, on which we rely. In addition to potential changes to regulations as a result of legal challenges, these decisions may result in increased regulatory uncertainty and delays and other impacts, any of which could adversely impact our business and operations.</w:t>
      </w:r>
    </w:p>
    <w:p>
      <w:pPr>
        <w:spacing w:after="0" w:line="309"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Finally, our ability to develop and market new drug products may be impacted if litigation challenging the FDA’s approval of another company’s drug product continues.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did not have standing to bring this legal action against the FDA. On October 11, 2024, the Attorneys General of three states filed an amended complaint in the district court in Texas challenging the FDA’s actions. On January 16, 2025, the district court in Texas agreed to allow these states to file an amended complaint and continue to pursue this challenge. Thereafter, on September 30, 2025, the district court in Texas declined to dismiss the case and, instead, transferred it to the federal district court in the Eastern District of Missouri. Depending on the outcome of this litigation, our ability to develop new product candidates and to maintain approval of any then-existing drug products could be at risk and could be delayed, undermined or subject to protracted litigation.</w:t>
      </w:r>
    </w:p>
    <w:p>
      <w:pPr>
        <w:spacing w:after="0" w:line="9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159"/>
          </w:cols>
          <w:pgMar w:left="300" w:top="415"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119"/>
        <w:spacing w:after="0" w:line="255" w:lineRule="auto"/>
        <w:rPr>
          <w:sz w:val="20"/>
          <w:szCs w:val="20"/>
          <w:color w:val="auto"/>
        </w:rPr>
      </w:pPr>
      <w:r>
        <w:rPr>
          <w:rFonts w:ascii="Arial" w:cs="Arial" w:eastAsia="Arial" w:hAnsi="Arial"/>
          <w:sz w:val="14"/>
          <w:szCs w:val="14"/>
          <w:b w:val="1"/>
          <w:bCs w:val="1"/>
          <w:i w:val="1"/>
          <w:iCs w:val="1"/>
          <w:color w:val="auto"/>
        </w:rPr>
        <w:t>Failure to obtain marketing approval in the European Union or other jurisdictions outside the United States would prevent our product candidates from being marketed in those jurisdictions. Any approval we may be granted for our product candidates in the United States would not ensure approval of our product candidates in the European Union or any other jurisdictions and any of our product candidates that may be approved for marketing in the European Union or another jurisdiction will be subject to risks associated with operation in such jurisdiction.</w:t>
      </w:r>
    </w:p>
    <w:p>
      <w:pPr>
        <w:spacing w:after="0" w:line="41"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We intend to market our current product candidates, if approved, in the European Union and other markets outside of the United States either directly or through collaborations. In order to market and sell our products in the European Union and other non-U.S.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United States generally includes all of the risks associated with obtaining FDA approval. We may not obtain approvals from the European Union and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file for marketing approvals but not receive necessary approvals to commercialize our product candidates in any market.</w:t>
      </w:r>
    </w:p>
    <w:p>
      <w:pPr>
        <w:spacing w:after="0" w:line="311"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In many countries outside the United States, a product candidate must also be approved for reimbursement before it can be sold in that country. In some cases, the price that we intend to charge for our products, if approved, is also subject to approval. Obtaining non-U.S. marketing approvals and compliance with non-U.S. regulatory requirements could result in significant delays, difficulties and costs for us and could delay or prevent the introduction of our product candidates in certain countries. In addition, if we fail to obtain the non-U.S. approvals required to market our product candidates outside the United States or if we fail to comply with applicable non-U.S. regulatory requirements, our target markets will be reduced and our ability to realize the full market potential of our product candidates will be harmed and our business, financial condition, results of operations and prospects may be adversely affected.</w:t>
      </w:r>
    </w:p>
    <w:p>
      <w:pPr>
        <w:spacing w:after="0" w:line="140"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Medicines and Healthcare products Regulatory Agency, or MHRA, is responsible for approving all medicinal products destined for the U.K. market (i.e., Great Britain and Northern Ireland). On April 28, 2025, the U.K. Parliament adopted amendments to improve and strengthen the United Kingdom’s clinical trials regulatory regime, which will take effect on April 28, 2026. Since the United Kingdom left the European Union prior to the date on which the EU Clinical Trials Regulation (Regulation EU No 536/2014) took effect, the U.K. legal framework (which was based upon the now-repealed EU Clinical Trials Directive (2001/20/EC)) did not benefit from the same revisions as occurred in the European Union. In anticipation of these new requirements, on October 1, 2025, the MHRA updated its guidance for clinical trials to address, among other things, research transparency requirements for clinical trials, the approvals process, the Research Ethics Committee review of clinical trials, simplified arrangements for consent in clinical trials and pharmacovigilance. We will need to ensure that we comply with the new U.K. regulatory regime for any clinical trials we conduct in the United Kingdom, which could add time and expense to our conduct of such trials.</w:t>
      </w:r>
    </w:p>
    <w:p>
      <w:pPr>
        <w:spacing w:after="0" w:line="149" w:lineRule="exact"/>
        <w:rPr>
          <w:sz w:val="20"/>
          <w:szCs w:val="20"/>
          <w:color w:val="auto"/>
        </w:rPr>
      </w:pPr>
    </w:p>
    <w:p>
      <w:pPr>
        <w:ind w:left="1220" w:right="199" w:firstLine="353"/>
        <w:spacing w:after="0" w:line="247" w:lineRule="auto"/>
        <w:rPr>
          <w:sz w:val="20"/>
          <w:szCs w:val="20"/>
          <w:color w:val="auto"/>
        </w:rPr>
      </w:pPr>
      <w:r>
        <w:rPr>
          <w:rFonts w:ascii="Arial" w:cs="Arial" w:eastAsia="Arial" w:hAnsi="Arial"/>
          <w:sz w:val="14"/>
          <w:szCs w:val="14"/>
          <w:color w:val="auto"/>
        </w:rPr>
        <w:t>At the same time, the United Kingdom has introduced a new international recognition procedure, or IRP, which is intended to facilitate approval of pharmaceutical products in the United Kingdom. The IRP is open to applicants that have already received an authorization for the same product from one of the MHRA’s specified Reference Regulators, or RRs. The RRs notably include the EMA and regulators in the European Union/European Economic Area, or EEA, member states for approvals in the European Union centralized procedure and mutual recognition procedure as well as the FDA (for product approvals granted in the United States). However, the IRP does not guarantee that a marketing authorization will be granted in the United Kingdom for all products with an approval from the EMA, and the MHRA retains the authority to reject applications if the evidence provided is considered insufficiently robust. Any delay in obtaining, or an inability to obtain, any marketing approvals may force us or any of our future collaborators to restrict or delay efforts to seek regulatory approval in the United Kingdom for our product candidates, which could significantly and materially harm our business.</w:t>
      </w:r>
    </w:p>
    <w:p>
      <w:pPr>
        <w:spacing w:after="0" w:line="143" w:lineRule="exact"/>
        <w:rPr>
          <w:sz w:val="20"/>
          <w:szCs w:val="20"/>
          <w:color w:val="auto"/>
        </w:rPr>
      </w:pPr>
    </w:p>
    <w:p>
      <w:pPr>
        <w:ind w:left="1220" w:right="339" w:firstLine="353"/>
        <w:spacing w:after="0" w:line="248" w:lineRule="auto"/>
        <w:rPr>
          <w:sz w:val="20"/>
          <w:szCs w:val="20"/>
          <w:color w:val="auto"/>
        </w:rPr>
      </w:pPr>
      <w:r>
        <w:rPr>
          <w:rFonts w:ascii="Arial" w:cs="Arial" w:eastAsia="Arial" w:hAnsi="Arial"/>
          <w:sz w:val="14"/>
          <w:szCs w:val="14"/>
          <w:color w:val="auto"/>
        </w:rPr>
        <w:t>In addition,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June 4, 2025, after almost two years of negotiations among the European Union member states, the Council of the European Union adopted its position on the proposed overhaul of the EU general pharmaceutical legislative framework, which is known as the new Pharma Package. On December 11, 2025, the European Parliament and European Council reached a provisional political agreement on the legislation. The revisions may have a significant impact on the pharmaceutical industry and our</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159"/>
          </w:cols>
          <w:pgMar w:left="300" w:top="41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both"/>
        <w:ind w:left="1220" w:right="279"/>
        <w:spacing w:after="0" w:line="263" w:lineRule="auto"/>
        <w:rPr>
          <w:sz w:val="20"/>
          <w:szCs w:val="20"/>
          <w:color w:val="auto"/>
        </w:rPr>
      </w:pPr>
      <w:r>
        <w:rPr>
          <w:rFonts w:ascii="Arial" w:cs="Arial" w:eastAsia="Arial" w:hAnsi="Arial"/>
          <w:sz w:val="14"/>
          <w:szCs w:val="14"/>
          <w:color w:val="auto"/>
        </w:rPr>
        <w:t>business. The new Pharma Package would, among other things, set a baseline period of eight years of data exclusivity and one year of market exclusivity with possible extensions for new indications up to a maximum of 11 years total. The new framework is expected to be adopted by mid-2026 and there will likely be a transition period of 24 months, with the changes taking effect in mid-2028.</w:t>
      </w:r>
    </w:p>
    <w:p>
      <w:pPr>
        <w:spacing w:after="0" w:line="131" w:lineRule="exact"/>
        <w:rPr>
          <w:sz w:val="20"/>
          <w:szCs w:val="20"/>
          <w:color w:val="auto"/>
        </w:rPr>
      </w:pPr>
    </w:p>
    <w:p>
      <w:pPr>
        <w:ind w:left="1220" w:right="179" w:firstLine="353"/>
        <w:spacing w:after="0" w:line="250" w:lineRule="auto"/>
        <w:rPr>
          <w:sz w:val="20"/>
          <w:szCs w:val="20"/>
          <w:color w:val="auto"/>
        </w:rPr>
      </w:pPr>
      <w:r>
        <w:rPr>
          <w:rFonts w:ascii="Arial" w:cs="Arial" w:eastAsia="Arial" w:hAnsi="Arial"/>
          <w:sz w:val="14"/>
          <w:szCs w:val="14"/>
          <w:color w:val="auto"/>
        </w:rPr>
        <w:t>We expect that we will be subject to additional risks in commercializing any of our product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29" w:lineRule="exact"/>
        <w:rPr>
          <w:sz w:val="20"/>
          <w:szCs w:val="20"/>
          <w:color w:val="auto"/>
        </w:rPr>
      </w:pPr>
    </w:p>
    <w:p>
      <w:pPr>
        <w:ind w:left="1220" w:right="139"/>
        <w:spacing w:after="0" w:line="268" w:lineRule="auto"/>
        <w:rPr>
          <w:sz w:val="20"/>
          <w:szCs w:val="20"/>
          <w:color w:val="auto"/>
        </w:rPr>
      </w:pPr>
      <w:r>
        <w:rPr>
          <w:rFonts w:ascii="Arial" w:cs="Arial" w:eastAsia="Arial" w:hAnsi="Arial"/>
          <w:sz w:val="14"/>
          <w:szCs w:val="14"/>
          <w:b w:val="1"/>
          <w:bCs w:val="1"/>
          <w:i w:val="1"/>
          <w:iCs w:val="1"/>
          <w:color w:val="auto"/>
        </w:rPr>
        <w:t>Any marketing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32" w:lineRule="exact"/>
        <w:rPr>
          <w:sz w:val="20"/>
          <w:szCs w:val="20"/>
          <w:color w:val="auto"/>
        </w:rPr>
      </w:pPr>
    </w:p>
    <w:p>
      <w:pPr>
        <w:ind w:left="1220" w:right="199" w:firstLine="353"/>
        <w:spacing w:after="0" w:line="246" w:lineRule="auto"/>
        <w:rPr>
          <w:sz w:val="20"/>
          <w:szCs w:val="20"/>
          <w:color w:val="auto"/>
        </w:rPr>
      </w:pPr>
      <w:r>
        <w:rPr>
          <w:rFonts w:ascii="Arial" w:cs="Arial" w:eastAsia="Arial" w:hAnsi="Arial"/>
          <w:sz w:val="14"/>
          <w:szCs w:val="14"/>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FDA will consider in determining the intended use of a drug product. Moreover, with the passage of the Pre-Approval Information Exchange Act in December 2022, sponsors of products that have not been approved may proactively communicate to payors certain information about products in development to help expedite patient access upon product approval. Physicians may nevertheless prescribe our products off-label to their patients in a manner that is inconsistent with the approved label.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 could lead to product liability suits that might require significant financial and management resources and that could harm our reputation.</w:t>
      </w:r>
    </w:p>
    <w:p>
      <w:pPr>
        <w:spacing w:after="0" w:line="146"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307" w:lineRule="exact"/>
        <w:rPr>
          <w:sz w:val="20"/>
          <w:szCs w:val="20"/>
          <w:color w:val="auto"/>
        </w:rPr>
      </w:pPr>
    </w:p>
    <w:p>
      <w:pPr>
        <w:ind w:left="1220" w:right="379" w:firstLine="353"/>
        <w:spacing w:after="0" w:line="250" w:lineRule="auto"/>
        <w:rPr>
          <w:sz w:val="20"/>
          <w:szCs w:val="20"/>
          <w:color w:val="auto"/>
        </w:rPr>
      </w:pPr>
      <w:r>
        <w:rPr>
          <w:rFonts w:ascii="Arial" w:cs="Arial" w:eastAsia="Arial" w:hAnsi="Arial"/>
          <w:sz w:val="14"/>
          <w:szCs w:val="14"/>
          <w:color w:val="auto"/>
        </w:rPr>
        <w:t>In addition, companies may also communicate information that is consistent with the prescribing information and may proactively speak to payors, formulary committees, and similar entities regarding healthcare economic information data for an unapproved drug or unapproved uses of an approved drug. We may engage in these discussions and communicate with healthcare providers, payors and other constituencies in compliance with all applicable laws, regulatory guidance and industry best practices. We will need to carefully navigate the FDA’s various regulations, guidance and policies, along with recently enacted legislation, to ensure compliance with restrictions governing promotion of our products.</w:t>
      </w:r>
    </w:p>
    <w:p>
      <w:pPr>
        <w:spacing w:after="0" w:line="141"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or FDCA,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is entitled to a share of any recovery or settlement.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suits, also commonly referred to as “whistleblower suits,” are often brought by current or former employees. In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the government must decide whether to intervene and prosecute the case. If it declines, the individual may pursue the case alone.</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159"/>
          </w:cols>
          <w:pgMar w:left="300" w:top="41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99"/>
        <w:spacing w:after="0" w:line="245" w:lineRule="auto"/>
        <w:rPr>
          <w:sz w:val="20"/>
          <w:szCs w:val="20"/>
          <w:color w:val="auto"/>
        </w:rPr>
      </w:pPr>
      <w:r>
        <w:rPr>
          <w:rFonts w:ascii="Arial" w:cs="Arial" w:eastAsia="Arial" w:hAnsi="Arial"/>
          <w:sz w:val="14"/>
          <w:szCs w:val="14"/>
          <w:color w:val="auto"/>
        </w:rPr>
        <w:t>For example, in September 2025, President Trump issued a Memorandum directing the U.S. Department of Health and Human Services, or HHS, to “ensure transparency and accuracy in direct-to-consumer prescription drug advertising, including by increasing the amount of information regarding any risks associated with the use of any such prescription drug required to be provided in prescription drug advertisements.” To that end, the FDA announced that it is initiating a rulemaking process “to eliminate the ‘adequate provision’ loophole that allows pharmaceutical advertisements to hide safety information by placing it in another format or location.” In this context, the FDA declared that it will no longer tolerate what it characterized as “deceptive practices” in prescription drug advertising and that the FDA would “aggressively deploy” its available enforcement tools, with “heightened scrutiny” of fair balance and disclosures in social media promotions. The FDA also issued a generic “notice letter” directing companies to “remove any noncompliant advertising and bring all promotional communications into compliance.” The FDA has subsequently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149"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 xml:space="preserve">If the FDA or any other governmental agency initiates an enforcement action against us or if we are the subject of a </w:t>
      </w:r>
      <w:r>
        <w:rPr>
          <w:rFonts w:ascii="Arial" w:cs="Arial" w:eastAsia="Arial" w:hAnsi="Arial"/>
          <w:sz w:val="14"/>
          <w:szCs w:val="14"/>
          <w:i w:val="1"/>
          <w:iCs w:val="1"/>
          <w:color w:val="auto"/>
        </w:rPr>
        <w:t>qui tam</w:t>
      </w:r>
      <w:r>
        <w:rPr>
          <w:rFonts w:ascii="Arial" w:cs="Arial" w:eastAsia="Arial" w:hAnsi="Arial"/>
          <w:sz w:val="14"/>
          <w:szCs w:val="14"/>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28" w:lineRule="exact"/>
        <w:rPr>
          <w:sz w:val="20"/>
          <w:szCs w:val="20"/>
          <w:color w:val="auto"/>
        </w:rPr>
      </w:pPr>
    </w:p>
    <w:p>
      <w:pPr>
        <w:ind w:left="1220" w:right="219"/>
        <w:spacing w:after="0" w:line="268" w:lineRule="auto"/>
        <w:rPr>
          <w:sz w:val="20"/>
          <w:szCs w:val="20"/>
          <w:color w:val="auto"/>
        </w:rPr>
      </w:pPr>
      <w:r>
        <w:rPr>
          <w:rFonts w:ascii="Arial" w:cs="Arial" w:eastAsia="Arial" w:hAnsi="Arial"/>
          <w:sz w:val="14"/>
          <w:szCs w:val="14"/>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32"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Manufacturers of approved products and their facilities are subject to continual review and periodic and unannounced inspections by the FDA and other regulatory authorities for compliance with cGMP regulations and standards. Even if marketing approval of a product is granted, the approval may be subject to limitations on the indicated uses for which the product may be marketed or to the conditions of approval, including the requirement to implement a REMS.</w:t>
      </w:r>
    </w:p>
    <w:p>
      <w:pPr>
        <w:spacing w:after="0" w:line="143"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41" w:lineRule="exact"/>
        <w:rPr>
          <w:sz w:val="20"/>
          <w:szCs w:val="20"/>
          <w:color w:val="auto"/>
        </w:rPr>
      </w:pPr>
    </w:p>
    <w:p>
      <w:pPr>
        <w:ind w:left="1220" w:right="139" w:firstLine="353"/>
        <w:spacing w:after="0" w:line="263" w:lineRule="auto"/>
        <w:rPr>
          <w:sz w:val="20"/>
          <w:szCs w:val="20"/>
          <w:color w:val="auto"/>
        </w:rPr>
      </w:pPr>
      <w:r>
        <w:rPr>
          <w:rFonts w:ascii="Arial" w:cs="Arial" w:eastAsia="Arial" w:hAnsi="Arial"/>
          <w:sz w:val="14"/>
          <w:szCs w:val="14"/>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55" w:lineRule="exact"/>
        <w:rPr>
          <w:sz w:val="20"/>
          <w:szCs w:val="20"/>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restrictions on such product, manufacturers or manufacturing processes;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restrictions on the labeling or marketing of the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restrictions on product distribution or use;</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requirements to conduct post-marketing studies or clinical trials;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warning letters or untitled letters;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withdrawal of the product from the market;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refusal to approve pending applications or supplements to approved applications that we submit;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recall of the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restrictions on coverage by third-party payors;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fines, restitution or disgorgement of profits or revenues;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159"/>
          </w:cols>
          <w:pgMar w:left="300" w:top="41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hanging="338"/>
        <w:spacing w:after="0"/>
        <w:tabs>
          <w:tab w:leader="none" w:pos="2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suspension or withdrawal of marketing approvals;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refusal to permit the import or export of the product;</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product seizure; or</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174"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Similar restrictions apply to the authorization and post-authorization supervision of our products in the European Union. The holder of a marketing authorization is required to comply with a range of requirements applicable to the manufacturing, marketing, promotion and sale of medicinal products. These include: compliance with the European Union’s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European Union and are also subject to European Union member state laws. The failure to comply with these and other EU requirements can also lead to significant penalties and sanctions.</w:t>
      </w:r>
    </w:p>
    <w:p>
      <w:pPr>
        <w:spacing w:after="0" w:line="140"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Accordingly, assuming we, or any future collaborators of ours, receive marketing approval for one or more of our product candidates, we, and any future collaborators of ours, and our and their contract manufacturers will continue to expend time, money and effort in all areas of regulatory compliance, including manufacturing, production, product surveillance and quality control. If we, and any future collaborators of ours, are not able to comply with post-approval regulatory requirements, our or any future collaborators of ours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229" w:lineRule="exact"/>
        <w:rPr>
          <w:sz w:val="20"/>
          <w:szCs w:val="20"/>
          <w:color w:val="auto"/>
        </w:rPr>
      </w:pPr>
    </w:p>
    <w:p>
      <w:pPr>
        <w:ind w:left="1220" w:right="759"/>
        <w:spacing w:after="0" w:line="294" w:lineRule="auto"/>
        <w:rPr>
          <w:sz w:val="20"/>
          <w:szCs w:val="20"/>
          <w:color w:val="auto"/>
        </w:rPr>
      </w:pPr>
      <w:r>
        <w:rPr>
          <w:rFonts w:ascii="Arial" w:cs="Arial" w:eastAsia="Arial" w:hAnsi="Arial"/>
          <w:sz w:val="14"/>
          <w:szCs w:val="14"/>
          <w:b w:val="1"/>
          <w:bCs w:val="1"/>
          <w:i w:val="1"/>
          <w:iCs w:val="1"/>
          <w:color w:val="auto"/>
        </w:rPr>
        <w:t>If approved, our product candidates that are licensed and regulated as biologics may face competition from biosimilars approved through an abbreviated regulatory pathway.</w:t>
      </w:r>
    </w:p>
    <w:p>
      <w:pPr>
        <w:spacing w:after="0" w:line="15" w:lineRule="exact"/>
        <w:rPr>
          <w:sz w:val="20"/>
          <w:szCs w:val="20"/>
          <w:color w:val="auto"/>
        </w:rPr>
      </w:pPr>
    </w:p>
    <w:p>
      <w:pPr>
        <w:ind w:left="1220" w:right="359" w:firstLine="353"/>
        <w:spacing w:after="0" w:line="252" w:lineRule="auto"/>
        <w:rPr>
          <w:sz w:val="20"/>
          <w:szCs w:val="20"/>
          <w:color w:val="auto"/>
        </w:rPr>
      </w:pPr>
      <w:r>
        <w:rPr>
          <w:rFonts w:ascii="Arial" w:cs="Arial" w:eastAsia="Arial" w:hAnsi="Arial"/>
          <w:sz w:val="14"/>
          <w:szCs w:val="14"/>
          <w:color w:val="auto"/>
        </w:rPr>
        <w:t>The Biologics Price Competition and Innovation Act of 2009, or the BPCIA, was enacted as part of the Patient Protection and Affordable Care Act, as amended by the Health Care and Education Affordability Reconciliation Amendment, or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139"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licensure of a competing biologic, so long as its BLA does not rely on the reference product, sponsor’s data or submit the application as a biosimilar application.</w:t>
      </w:r>
    </w:p>
    <w:p>
      <w:pPr>
        <w:spacing w:after="0" w:line="141"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We believe that any of the product candidates we develop as a biological product under a BLA should qualify for the 12-year period of exclusivity. However, there is a risk that this exclusivity could be shortened due to U.S. congressional action or otherwise, or that the FDA will not consider our product candidates to be reference products for competing products, potentially creating the opportunity for biosimilar competition sooner than anticipated. Further, the FDA may revise the standards governing the approval of biosimilars so as to bring such products to the market more quickly. For example, in October 2025, the FDA issued draft guidance which proposes to eliminate the need for sponsors of biosimilar products to conduct comparative human clinical efficacy studies in many circumstances, allowing them to rely instead on analytical testing to assess product differences from a reference product.</w:t>
      </w:r>
    </w:p>
    <w:p>
      <w:pPr>
        <w:spacing w:after="0" w:line="140"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There have been recent government proposals to reduce the 12-year reference product exclusivity period, but none has been enacted to date. At the same time, since passage of the BPCIA, many states have passed laws or amendments to laws, which address pharmacy practices involving biosimilar products. The approval of a biosimilar to our product candidates would have a material adverse impact on our business due to increased competition and pricing pressure.</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159"/>
          </w:cols>
          <w:pgMar w:left="300" w:top="415"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239"/>
        <w:spacing w:after="0" w:line="255" w:lineRule="auto"/>
        <w:rPr>
          <w:sz w:val="20"/>
          <w:szCs w:val="20"/>
          <w:color w:val="auto"/>
        </w:rPr>
      </w:pPr>
      <w:r>
        <w:rPr>
          <w:rFonts w:ascii="Arial" w:cs="Arial" w:eastAsia="Arial" w:hAnsi="Arial"/>
          <w:sz w:val="14"/>
          <w:szCs w:val="14"/>
          <w:b w:val="1"/>
          <w:bCs w:val="1"/>
          <w:i w:val="1"/>
          <w:iCs w:val="1"/>
          <w:color w:val="auto"/>
        </w:rPr>
        <w:t>We have sought and received Fast Track designation, Breakthrough Therapy designation and ILAP designation in the United Kingdom and may in the future seek additional designations for our product candidates, including but not limited to Priority Review designation in the United States, and PRIority Medicines, or PRIME, Designation in the European Union, but we might not receive such designations, and even if we do, such designations may not lead to a faster development or regulatory review or approval process.</w:t>
      </w:r>
    </w:p>
    <w:p>
      <w:pPr>
        <w:spacing w:after="0" w:line="41" w:lineRule="exact"/>
        <w:rPr>
          <w:sz w:val="20"/>
          <w:szCs w:val="20"/>
          <w:color w:val="auto"/>
        </w:rPr>
      </w:pPr>
    </w:p>
    <w:p>
      <w:pPr>
        <w:ind w:left="1220" w:right="319" w:firstLine="353"/>
        <w:spacing w:after="0" w:line="249" w:lineRule="auto"/>
        <w:rPr>
          <w:sz w:val="20"/>
          <w:szCs w:val="20"/>
          <w:color w:val="auto"/>
        </w:rPr>
      </w:pPr>
      <w:r>
        <w:rPr>
          <w:rFonts w:ascii="Arial" w:cs="Arial" w:eastAsia="Arial" w:hAnsi="Arial"/>
          <w:sz w:val="14"/>
          <w:szCs w:val="14"/>
          <w:color w:val="auto"/>
        </w:rPr>
        <w:t>We have received and may in the future seek certain designations for one or more of our product candidates that could expedite review and approval by the FDA. A Breakthrough Therapy product is defined as a product that is intended, alone or in combination with one or more other products, to treat a serious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40"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color w:val="auto"/>
        </w:rPr>
        <w:t>The FDA may also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w:t>
      </w:r>
    </w:p>
    <w:p>
      <w:pPr>
        <w:spacing w:after="0" w:line="139" w:lineRule="exact"/>
        <w:rPr>
          <w:sz w:val="20"/>
          <w:szCs w:val="20"/>
          <w:color w:val="auto"/>
        </w:rPr>
      </w:pPr>
    </w:p>
    <w:p>
      <w:pPr>
        <w:jc w:val="both"/>
        <w:ind w:left="1220" w:right="159" w:firstLine="353"/>
        <w:spacing w:after="0" w:line="256" w:lineRule="auto"/>
        <w:rPr>
          <w:sz w:val="20"/>
          <w:szCs w:val="20"/>
          <w:color w:val="auto"/>
        </w:rPr>
      </w:pPr>
      <w:r>
        <w:rPr>
          <w:rFonts w:ascii="Arial" w:cs="Arial" w:eastAsia="Arial" w:hAnsi="Arial"/>
          <w:sz w:val="14"/>
          <w:szCs w:val="14"/>
          <w:color w:val="auto"/>
        </w:rPr>
        <w:t>We have received Fast Track and Breakthrough Therapy designations for sutacimig for the treatment of Glanzmann thrombasthenia and may seek Fast Track and Breakthrough Therapy designations for sutacimig in other indications or for other of our product candidates, but such designation may not lead to a faster development or regulatory review and approval process or increase the likelihood that such product candidate will receive regulatory approval.</w:t>
      </w:r>
    </w:p>
    <w:p>
      <w:pPr>
        <w:spacing w:after="0" w:line="135"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We may also seek a Priority Review designation for one or more of our product candidates. If the FDA determines that a product candidate is intended to treat a serious condition and, if approved, offers a significant improvement in safety or effectiveness, the FDA may designate the product candidate for priority review.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means that the goal for the FDA to review an application is six months, rather than the standard review period of ten months.</w:t>
      </w:r>
    </w:p>
    <w:p>
      <w:pPr>
        <w:spacing w:after="0" w:line="140" w:lineRule="exact"/>
        <w:rPr>
          <w:sz w:val="20"/>
          <w:szCs w:val="20"/>
          <w:color w:val="auto"/>
        </w:rPr>
      </w:pPr>
    </w:p>
    <w:p>
      <w:pPr>
        <w:ind w:left="1220" w:right="99" w:firstLine="353"/>
        <w:spacing w:after="0" w:line="249" w:lineRule="auto"/>
        <w:rPr>
          <w:sz w:val="20"/>
          <w:szCs w:val="20"/>
          <w:color w:val="auto"/>
        </w:rPr>
      </w:pPr>
      <w:r>
        <w:rPr>
          <w:rFonts w:ascii="Arial" w:cs="Arial" w:eastAsia="Arial" w:hAnsi="Arial"/>
          <w:sz w:val="14"/>
          <w:szCs w:val="14"/>
          <w:color w:val="auto"/>
        </w:rPr>
        <w:t>These designations are within the discretion of the FDA. Accordingly, even if we believe that one of our product candidates meets the criteria for these designations, the FDA may disagree and instead determine not to make such designation. Further, even if we receive a designation, the receipt of such designation for a product candidate may not result in a faster development or regulatory review or approval process compared to products considered for approval under conventional FDA procedures and does not assure ultimate approval by the FDA. In addition, even if one or more of our product candidates qualifies for these designations, the FDA may later decide that the product candidates no longer meet the conditions for qualification or decide that the time period for FDA review or approval will not be shortened.</w:t>
      </w:r>
    </w:p>
    <w:p>
      <w:pPr>
        <w:spacing w:after="0" w:line="307" w:lineRule="exact"/>
        <w:rPr>
          <w:sz w:val="20"/>
          <w:szCs w:val="20"/>
          <w:color w:val="auto"/>
        </w:rPr>
      </w:pPr>
    </w:p>
    <w:p>
      <w:pPr>
        <w:ind w:left="1220" w:right="239" w:firstLine="353"/>
        <w:spacing w:after="0" w:line="252" w:lineRule="auto"/>
        <w:rPr>
          <w:sz w:val="20"/>
          <w:szCs w:val="20"/>
          <w:color w:val="auto"/>
        </w:rPr>
      </w:pPr>
      <w:r>
        <w:rPr>
          <w:rFonts w:ascii="Arial" w:cs="Arial" w:eastAsia="Arial" w:hAnsi="Arial"/>
          <w:sz w:val="14"/>
          <w:szCs w:val="14"/>
          <w:color w:val="auto"/>
        </w:rPr>
        <w:t>In September 2025, the FDA introduced a framework intended to streamline the approval of new therapies for ultrarare diseases. The Rare Disease Evidence Principles framework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139" w:lineRule="exact"/>
        <w:rPr>
          <w:sz w:val="20"/>
          <w:szCs w:val="20"/>
          <w:color w:val="auto"/>
        </w:rPr>
      </w:pPr>
    </w:p>
    <w:p>
      <w:pPr>
        <w:ind w:left="1220" w:right="199" w:firstLine="353"/>
        <w:spacing w:after="0" w:line="248" w:lineRule="auto"/>
        <w:rPr>
          <w:sz w:val="20"/>
          <w:szCs w:val="20"/>
          <w:color w:val="auto"/>
        </w:rPr>
      </w:pPr>
      <w:r>
        <w:rPr>
          <w:rFonts w:ascii="Arial" w:cs="Arial" w:eastAsia="Arial" w:hAnsi="Arial"/>
          <w:sz w:val="14"/>
          <w:szCs w:val="14"/>
          <w:color w:val="auto"/>
        </w:rPr>
        <w:t>In the European Union, we may seek PRIME designation for our product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European Union or, if such a method exists, the medicine offers a major therapeutic advantage over existing treatments. PRIME is limited to medicines under development and not authorized in the European Union, where the applicant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141" w:lineRule="exact"/>
        <w:rPr>
          <w:sz w:val="20"/>
          <w:szCs w:val="20"/>
          <w:color w:val="auto"/>
        </w:rPr>
      </w:pPr>
    </w:p>
    <w:p>
      <w:pPr>
        <w:ind w:left="1220" w:right="219" w:firstLine="353"/>
        <w:spacing w:after="0" w:line="252" w:lineRule="auto"/>
        <w:rPr>
          <w:sz w:val="20"/>
          <w:szCs w:val="20"/>
          <w:color w:val="auto"/>
        </w:rPr>
      </w:pPr>
      <w:r>
        <w:rPr>
          <w:rFonts w:ascii="Arial" w:cs="Arial" w:eastAsia="Arial" w:hAnsi="Arial"/>
          <w:sz w:val="14"/>
          <w:szCs w:val="14"/>
          <w:color w:val="auto"/>
        </w:rPr>
        <w:t>The benefits of a PRIME designation include the appointment of a Committee for Medicinal Products for Human Use, or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an applicant to request parallel EMA scientific advice and health technology</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159"/>
          </w:cols>
          <w:pgMar w:left="300" w:top="415"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399"/>
        <w:spacing w:after="0" w:line="256" w:lineRule="auto"/>
        <w:rPr>
          <w:sz w:val="20"/>
          <w:szCs w:val="20"/>
          <w:color w:val="auto"/>
        </w:rPr>
      </w:pPr>
      <w:r>
        <w:rPr>
          <w:rFonts w:ascii="Arial" w:cs="Arial" w:eastAsia="Arial" w:hAnsi="Arial"/>
          <w:sz w:val="14"/>
          <w:szCs w:val="14"/>
          <w:color w:val="auto"/>
        </w:rPr>
        <w:t>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the European Commission’s grant of a marketing authorization.</w:t>
      </w:r>
    </w:p>
    <w:p>
      <w:pPr>
        <w:spacing w:after="0" w:line="135"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In the United Kingdom, sutacimig has received innovative licensing and access pathway, or ILAP. designation from the MHRA for the treatment of Glanzmann thrombasthenia. The ILAP is open to sponsors of potentially transformative medicines or drug-device combination products that address unmet medical needs. It supports products with evidence of safe use in humans but before confirmatory trials have started. It is designed to reduce the end-to-end timeline for research and development, regulatory approval and timely adoption of new technologies to benefit patients and the healthcare system in the United Kingdom. To these ends, the ILAP comprises an Innovation Passport designation, a Target Development profile and a toolkit to support all stages of the design, development and approval process. As with expedited review and approval programs in other jurisdictions, the designation of sutacimig under the ILAP does not guarantee approval of this candidate product in the United Kingdom by the MHRA. Further, we will need to carefully navigate the requirements of the ILAP to ensure that we benefit from this accelerated pathway to approval.</w:t>
      </w:r>
    </w:p>
    <w:p>
      <w:pPr>
        <w:spacing w:after="0" w:line="231" w:lineRule="exact"/>
        <w:rPr>
          <w:sz w:val="20"/>
          <w:szCs w:val="20"/>
          <w:color w:val="auto"/>
        </w:rPr>
      </w:pPr>
    </w:p>
    <w:p>
      <w:pPr>
        <w:ind w:left="1220" w:right="159"/>
        <w:spacing w:after="0" w:line="294" w:lineRule="auto"/>
        <w:rPr>
          <w:sz w:val="20"/>
          <w:szCs w:val="20"/>
          <w:color w:val="auto"/>
        </w:rPr>
      </w:pPr>
      <w:r>
        <w:rPr>
          <w:rFonts w:ascii="Arial" w:cs="Arial" w:eastAsia="Arial" w:hAnsi="Arial"/>
          <w:sz w:val="14"/>
          <w:szCs w:val="14"/>
          <w:b w:val="1"/>
          <w:bCs w:val="1"/>
          <w:i w:val="1"/>
          <w:iCs w:val="1"/>
          <w:color w:val="auto"/>
        </w:rPr>
        <w:t>We have received orphan drug designation for sutacimig for the treatment of Glanzmann thrombasthenia, but we may be unable to maintain this designation or realize the benefits associated with orphan drug designation, including exclusivity.</w:t>
      </w:r>
    </w:p>
    <w:p>
      <w:pPr>
        <w:spacing w:after="0" w:line="15"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We sought and obtained orphan drug designation for sutacimig from the FDA and the EMA for the treatment of Glanzmann thrombasthenia, however, we may not be able to maintain these designations. We also may seek orphan drug designation for sutacimig in other specific orphan indications, or for HMB-002 or any future product candidates, but we may never receive such designations. Under the Orphan Drug Act, the FDA may designate a product as an orphan drug if it is a drug intended to treat a rare disease or condition. A similar regulatory scheme governs orphan designation by the European Commission, following a recommendation from the EMA’s Committee for Orphan Medicinal Products in the European Union.</w:t>
      </w:r>
    </w:p>
    <w:p>
      <w:pPr>
        <w:spacing w:after="0" w:line="141"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Generally, if a product candidate with an orphan drug designation subsequently receives the first marketing approval for the indication for which it has such designation, the product is entitled to a period of marketing exclusivity, which precludes the FDA or EMA from approving another marketing authorization application for the same product (or a similar medicinal product in the European Union) for the same approved use indication for that time period, subject to limited exceptions. The applicable period is seven years in the United States and ten years in the European Union. The exclusivity period in the European Union can be reduced to six years if a product no longer meets the criteria for orphan drug designation, including if the product is sufficiently profitable so that market exclusivity is no longer justified.</w:t>
      </w:r>
    </w:p>
    <w:p>
      <w:pPr>
        <w:spacing w:after="0" w:line="307" w:lineRule="exact"/>
        <w:rPr>
          <w:sz w:val="20"/>
          <w:szCs w:val="20"/>
          <w:color w:val="auto"/>
        </w:rPr>
      </w:pPr>
    </w:p>
    <w:p>
      <w:pPr>
        <w:ind w:left="1220" w:right="139" w:firstLine="353"/>
        <w:spacing w:after="0" w:line="247" w:lineRule="auto"/>
        <w:rPr>
          <w:sz w:val="20"/>
          <w:szCs w:val="20"/>
          <w:color w:val="auto"/>
        </w:rPr>
      </w:pPr>
      <w:r>
        <w:rPr>
          <w:rFonts w:ascii="Arial" w:cs="Arial" w:eastAsia="Arial" w:hAnsi="Arial"/>
          <w:sz w:val="14"/>
          <w:szCs w:val="14"/>
          <w:color w:val="auto"/>
        </w:rPr>
        <w:t>In order for the FDA to grant orphan drug exclusivity, the FDA must find that the product is indicated for the treatment of a condition or disease with a patient population of fewer than 200,000 individuals annually in the United States. The FDA may conclude that the condition or disease for which we seek orphan drug exclusivity does not meet this standard. Even if orphan drug exclusivity is obtained for a product, that exclusivity may not effectively protect the product from competition because different products can be approved for the same approved use or indication. In addition, even after an orphan drug is approved, the FDA can subsequently approve the same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308" w:lineRule="exact"/>
        <w:rPr>
          <w:sz w:val="20"/>
          <w:szCs w:val="20"/>
          <w:color w:val="auto"/>
        </w:rPr>
      </w:pPr>
    </w:p>
    <w:p>
      <w:pPr>
        <w:ind w:left="1220" w:right="239" w:firstLine="353"/>
        <w:spacing w:after="0" w:line="246" w:lineRule="auto"/>
        <w:rPr>
          <w:sz w:val="20"/>
          <w:szCs w:val="20"/>
          <w:color w:val="auto"/>
        </w:rPr>
      </w:pPr>
      <w:r>
        <w:rPr>
          <w:rFonts w:ascii="Arial" w:cs="Arial" w:eastAsia="Arial" w:hAnsi="Arial"/>
          <w:sz w:val="14"/>
          <w:szCs w:val="14"/>
          <w:color w:val="auto"/>
        </w:rPr>
        <w:t>The FDA and Congress may further reevaluate and revise the Orphan Drug Act and its regulations and policies. For example, in September 2021, the Court of Appeals for the 11th Circuit held that, for the purpose of determining the scope of orphan drug exclusivity, the term “same disease or condition” means the designated “rare disease or condition” and not the “indication or use” for which the product is approved. Subsequently, in another case, a federal district court in Washington, D.C. followed the reasoning of the 11th Circuit decision, and that decision was appealed to the U.S. Court of Appeals for the D.C. Circuit. On February 3, 2026, the Consolidated Appropriations Act of 2026 was enacted into law. It overruled these court decisions and codified the FDA’s longstanding interpretation of the scope of orphan drug exclusivity to apply to “the same drug for the same approved use or indication within such designated rare disease or condition.” This change, which applies retroactively, expressly authorizes the FDA to approve multiple versions of the same orphan drug for different sub-indications and subpopulations, such as adult and pediatric patients or multiple variations of the same disease that are caused by different genetic variants.</w:t>
      </w:r>
    </w:p>
    <w:p>
      <w:pPr>
        <w:spacing w:after="0" w:line="9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159"/>
          </w:cols>
          <w:pgMar w:left="300" w:top="415"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spacing w:after="0" w:line="263" w:lineRule="auto"/>
        <w:rPr>
          <w:sz w:val="20"/>
          <w:szCs w:val="20"/>
          <w:color w:val="auto"/>
        </w:rPr>
      </w:pPr>
      <w:r>
        <w:rPr>
          <w:rFonts w:ascii="Arial" w:cs="Arial" w:eastAsia="Arial" w:hAnsi="Arial"/>
          <w:sz w:val="14"/>
          <w:szCs w:val="14"/>
          <w:color w:val="auto"/>
        </w:rPr>
        <w:t>We do not know if, when, or how the FDA or Congress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31" w:lineRule="exact"/>
        <w:rPr>
          <w:sz w:val="20"/>
          <w:szCs w:val="20"/>
          <w:color w:val="auto"/>
        </w:rPr>
      </w:pPr>
    </w:p>
    <w:p>
      <w:pPr>
        <w:ind w:left="1220" w:right="99" w:firstLine="353"/>
        <w:spacing w:after="0" w:line="248" w:lineRule="auto"/>
        <w:rPr>
          <w:sz w:val="20"/>
          <w:szCs w:val="20"/>
          <w:color w:val="auto"/>
        </w:rPr>
      </w:pPr>
      <w:r>
        <w:rPr>
          <w:rFonts w:ascii="Arial" w:cs="Arial" w:eastAsia="Arial" w:hAnsi="Arial"/>
          <w:sz w:val="14"/>
          <w:szCs w:val="14"/>
          <w:color w:val="auto"/>
        </w:rPr>
        <w:t>In addition, obtaining orphan drug designation in the European Union requires demonstrating that there exists no satisfactory method of diagnosis, prevention or treatment of the condition in question that has been authorized in the European Union or, if such method exists, the medicinal product will be of significant benefit to those affected by that condition. There is no assurance that we would be able to meet that standard for sutacimig in indications other than Glanzmann thrombasthenia or for any of our product candidates. Further, orphan drug designation for a product candidate in the European Union cannot be maintained at the time of a marketing authorization application without a showing, to the satisfaction of the EU regulatory authorities, that the product candidate is of significant benefit to patients over available commercial products for the indication in the European Union and any additional products that are ahead of our product candidate in clinical development for the indication.</w:t>
      </w:r>
    </w:p>
    <w:p>
      <w:pPr>
        <w:spacing w:after="0" w:line="229" w:lineRule="exact"/>
        <w:rPr>
          <w:sz w:val="20"/>
          <w:szCs w:val="20"/>
          <w:color w:val="auto"/>
        </w:rPr>
      </w:pPr>
    </w:p>
    <w:p>
      <w:pPr>
        <w:ind w:left="1220" w:right="119"/>
        <w:spacing w:after="0" w:line="259" w:lineRule="auto"/>
        <w:rPr>
          <w:sz w:val="20"/>
          <w:szCs w:val="20"/>
          <w:color w:val="auto"/>
        </w:rPr>
      </w:pPr>
      <w:r>
        <w:rPr>
          <w:rFonts w:ascii="Arial" w:cs="Arial" w:eastAsia="Arial" w:hAnsi="Arial"/>
          <w:sz w:val="14"/>
          <w:szCs w:val="14"/>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programs and develop and secure approval of our product candidates in a timely manner, which would negatively impact our business.</w:t>
      </w:r>
    </w:p>
    <w:p>
      <w:pPr>
        <w:spacing w:after="0" w:line="39"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The FDA and comparable regulatory agencies in foreign jurisdictions, such as the EMA and CHMP, play a critical role in the development of our product candidates by providing guidance on our clinical development programs and reviewing and approving our regulatory submissions, including INDs, requests for special designations and marketing applications. If these oversight and review activities are disrupted or delayed, then correspondingly our ability to develop and secure timely approval of our product candidates could be impacted in a negative manner.</w:t>
      </w:r>
    </w:p>
    <w:p>
      <w:pPr>
        <w:spacing w:after="0" w:line="139" w:lineRule="exact"/>
        <w:rPr>
          <w:sz w:val="20"/>
          <w:szCs w:val="20"/>
          <w:color w:val="auto"/>
        </w:rPr>
      </w:pPr>
    </w:p>
    <w:p>
      <w:pPr>
        <w:jc w:val="both"/>
        <w:ind w:left="1220" w:right="239" w:firstLine="353"/>
        <w:spacing w:after="0" w:line="256" w:lineRule="auto"/>
        <w:rPr>
          <w:sz w:val="20"/>
          <w:szCs w:val="20"/>
          <w:color w:val="auto"/>
        </w:rPr>
      </w:pPr>
      <w:r>
        <w:rPr>
          <w:rFonts w:ascii="Arial" w:cs="Arial" w:eastAsia="Arial" w:hAnsi="Arial"/>
          <w:sz w:val="14"/>
          <w:szCs w:val="14"/>
          <w:color w:val="auto"/>
        </w:rPr>
        <w:t>For example, the loss of FDA leadership and personnel could lead to disruptions and delays in FDA guidance, review and potential approval of our product candidates. In November 2025, a Congressional Continuing Resolution ended the government shutdown, which began on October 1, 2025, providing full-year funding of the FDA for the 2026 federal fiscal year of approximately $7 billion with a slight increase in user fees for drug and device companies.</w:t>
      </w:r>
    </w:p>
    <w:p>
      <w:pPr>
        <w:spacing w:after="0" w:line="135" w:lineRule="exact"/>
        <w:rPr>
          <w:sz w:val="20"/>
          <w:szCs w:val="20"/>
          <w:color w:val="auto"/>
        </w:rPr>
      </w:pPr>
    </w:p>
    <w:p>
      <w:pPr>
        <w:ind w:left="1220" w:right="239" w:firstLine="353"/>
        <w:spacing w:after="0" w:line="249" w:lineRule="auto"/>
        <w:rPr>
          <w:sz w:val="20"/>
          <w:szCs w:val="20"/>
          <w:color w:val="auto"/>
        </w:rPr>
      </w:pPr>
      <w:r>
        <w:rPr>
          <w:rFonts w:ascii="Arial" w:cs="Arial" w:eastAsia="Arial" w:hAnsi="Arial"/>
          <w:sz w:val="14"/>
          <w:szCs w:val="14"/>
          <w:color w:val="auto"/>
        </w:rPr>
        <w:t>While the FDA’s review of marketing applications and other activities for new drugs and biologics is largely funded through the user fee program established under the Prescription Drug User Fee Act, or PDUFA, it remains unclear how the FDA’s 2025 reduction in force and budget cuts will impact this program and the ability of the FDA to provide guidance and review our product candidates in a timely manner. For example, while the FDA’s 2025 reduction in force did not reportedly specifically target FDA reviewers, many operations, administrative and policy staff that help support such reviews were affected and those losses could lead to delays in PDUFA reviews and related activities. There has been at least one report in which the FDA failed to meet a PDUFA goal date for approval of an NDA or BLA due to heavy workload and limited resources.</w:t>
      </w:r>
    </w:p>
    <w:p>
      <w:pPr>
        <w:spacing w:after="0" w:line="140" w:lineRule="exact"/>
        <w:rPr>
          <w:sz w:val="20"/>
          <w:szCs w:val="20"/>
          <w:color w:val="auto"/>
        </w:rPr>
      </w:pPr>
    </w:p>
    <w:p>
      <w:pPr>
        <w:ind w:left="1220" w:right="239" w:firstLine="353"/>
        <w:spacing w:after="0" w:line="248" w:lineRule="auto"/>
        <w:rPr>
          <w:sz w:val="20"/>
          <w:szCs w:val="20"/>
          <w:color w:val="auto"/>
        </w:rPr>
      </w:pPr>
      <w:r>
        <w:rPr>
          <w:rFonts w:ascii="Arial" w:cs="Arial" w:eastAsia="Arial" w:hAnsi="Arial"/>
          <w:sz w:val="14"/>
          <w:szCs w:val="14"/>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the President has issued a number of executive orders that could have a significant impact on the manner in which the FDA conducts its operations and engages in regulatory and oversight activities. These include E.O. 14192, “Unleashing Prosperity Through Deregulation,” January 31, 2025; E.O. 14212, “Establishing the President’s Make America Healthy Again Commission,” February 13, 2025; and E.O. 14219, “Ensuring Lawful Governance and Implementing the President’s ‘Department of Government Efficiency” Deregulatory Initiative,” February 21, 2025. If these or other orders or executive actions impose constraints on the FDA’s ability to engage in oversight and implementation activities in the normal course, our business may be negatively impacted.</w:t>
      </w:r>
    </w:p>
    <w:p>
      <w:pPr>
        <w:spacing w:after="0" w:line="141"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Similarly, actions by the U.S. government have significantly disrupted the operations of U.S. government agencies such as the National Institutes of Health, National Science Foundation, Centers for Disease Control and Prevention, and the 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United States, and threatening access to federal agency contracts and other funding awards based on companies’</w:t>
      </w:r>
    </w:p>
    <w:p>
      <w:pPr>
        <w:spacing w:after="0" w:line="8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159"/>
          </w:cols>
          <w:pgMar w:left="300" w:top="415"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both"/>
        <w:ind w:left="1220" w:right="139"/>
        <w:spacing w:after="0" w:line="256" w:lineRule="auto"/>
        <w:rPr>
          <w:sz w:val="20"/>
          <w:szCs w:val="20"/>
          <w:color w:val="auto"/>
        </w:rPr>
      </w:pPr>
      <w:r>
        <w:rPr>
          <w:rFonts w:ascii="Arial" w:cs="Arial" w:eastAsia="Arial" w:hAnsi="Arial"/>
          <w:sz w:val="14"/>
          <w:szCs w:val="14"/>
          <w:color w:val="auto"/>
        </w:rPr>
        <w:t>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135"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In addition, government funding of the SEC and other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141"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For example, the federal government shut down on October 1, 2025, and reopened on November 13, 2025. At the outset of that shutdown, the FDA issued a public notice stating that FDA operations would continue to the extent permitted by law, such as activities necessary to address imminent threats to the safety of human life and activities funded by carryover user fee funds. The FDA declared that, during the shutdown period, it does not have legal authority to accept user fees assessed for fiscal year 2026 until a fiscal year 2026 appropriation or Continuing Resolution for the FDA is enacted. As a result, during the government shutdown, the FDA did not accept any regulatory submissions for fiscal year 2026 that require a fee payment.</w:t>
      </w:r>
    </w:p>
    <w:p>
      <w:pPr>
        <w:spacing w:after="0" w:line="141" w:lineRule="exact"/>
        <w:rPr>
          <w:sz w:val="20"/>
          <w:szCs w:val="20"/>
          <w:color w:val="auto"/>
        </w:rPr>
      </w:pPr>
    </w:p>
    <w:p>
      <w:pPr>
        <w:ind w:left="1220" w:right="219" w:firstLine="353"/>
        <w:spacing w:after="0" w:line="250" w:lineRule="auto"/>
        <w:rPr>
          <w:sz w:val="20"/>
          <w:szCs w:val="20"/>
          <w:color w:val="auto"/>
        </w:rPr>
      </w:pPr>
      <w:r>
        <w:rPr>
          <w:rFonts w:ascii="Arial" w:cs="Arial" w:eastAsia="Arial" w:hAnsi="Arial"/>
          <w:sz w:val="14"/>
          <w:szCs w:val="14"/>
          <w:color w:val="auto"/>
        </w:rPr>
        <w:t>At the same time, disruptions at the FDA and other government agencies may result from public health events similar to the COVID-19 pandemic. For example, during the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141"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Accordingly, if any of the foregoing developments and others impact the ability of the FDA to provide us with guidance regarding our clinical development programs or delay the FDA’s review and processing of our regulatory submissions, including INDs and BLAs, our business would be negatively impacted. Further, any future government shutdown could impact our ability to access the public markets and obtain necessary capital in order to properly capitalize and continue our operations.</w:t>
      </w:r>
    </w:p>
    <w:p>
      <w:pPr>
        <w:spacing w:after="0" w:line="224" w:lineRule="exact"/>
        <w:rPr>
          <w:sz w:val="20"/>
          <w:szCs w:val="20"/>
          <w:color w:val="auto"/>
        </w:rPr>
      </w:pPr>
    </w:p>
    <w:p>
      <w:pPr>
        <w:jc w:val="both"/>
        <w:ind w:left="1220" w:right="319"/>
        <w:spacing w:after="0" w:line="268" w:lineRule="auto"/>
        <w:rPr>
          <w:sz w:val="20"/>
          <w:szCs w:val="20"/>
          <w:color w:val="auto"/>
        </w:rPr>
      </w:pPr>
      <w:r>
        <w:rPr>
          <w:rFonts w:ascii="Arial" w:cs="Arial" w:eastAsia="Arial" w:hAnsi="Arial"/>
          <w:sz w:val="14"/>
          <w:szCs w:val="14"/>
          <w:b w:val="1"/>
          <w:bCs w:val="1"/>
          <w:i w:val="1"/>
          <w:iCs w:val="1"/>
          <w:color w:val="auto"/>
        </w:rPr>
        <w:t>Accelerated approval by the FDA, even if granted for any of our current or future product candidates, may not lead to a faster development or regulatory review or approval process and it does not increase the likelihood that our product candidates will receive marketing approval.</w:t>
      </w:r>
    </w:p>
    <w:p>
      <w:pPr>
        <w:spacing w:after="0" w:line="32" w:lineRule="exact"/>
        <w:rPr>
          <w:sz w:val="20"/>
          <w:szCs w:val="20"/>
          <w:color w:val="auto"/>
        </w:rPr>
      </w:pPr>
    </w:p>
    <w:p>
      <w:pPr>
        <w:ind w:left="1220" w:right="199" w:firstLine="353"/>
        <w:spacing w:after="0" w:line="252" w:lineRule="auto"/>
        <w:rPr>
          <w:sz w:val="20"/>
          <w:szCs w:val="20"/>
          <w:color w:val="auto"/>
        </w:rPr>
      </w:pPr>
      <w:r>
        <w:rPr>
          <w:rFonts w:ascii="Arial" w:cs="Arial" w:eastAsia="Arial" w:hAnsi="Arial"/>
          <w:sz w:val="14"/>
          <w:szCs w:val="14"/>
          <w:color w:val="auto"/>
        </w:rPr>
        <w:t>In the future, we may seek approval of our product candidates using the FDA’s accelerated approval pathway. A product candidate may be eligible for accelerated approval if it treats a serious or life-threatening condition, generally provides a meaningful advantage over available therapies, and demonstrates an effect on a surrogate endpoint that is reasonably likely to predict clinical benefit. The FDA or other applicable regulatory agency makes the determination regarding whether a surrogate endpoint is reasonably likely to predict long-term clinical benefit.</w:t>
      </w:r>
    </w:p>
    <w:p>
      <w:pPr>
        <w:spacing w:after="0" w:line="139" w:lineRule="exact"/>
        <w:rPr>
          <w:sz w:val="20"/>
          <w:szCs w:val="20"/>
          <w:color w:val="auto"/>
        </w:rPr>
      </w:pPr>
    </w:p>
    <w:p>
      <w:pPr>
        <w:ind w:left="1220" w:right="319" w:firstLine="353"/>
        <w:spacing w:after="0" w:line="248" w:lineRule="auto"/>
        <w:rPr>
          <w:sz w:val="20"/>
          <w:szCs w:val="20"/>
          <w:color w:val="auto"/>
        </w:rPr>
      </w:pPr>
      <w:r>
        <w:rPr>
          <w:rFonts w:ascii="Arial" w:cs="Arial" w:eastAsia="Arial" w:hAnsi="Arial"/>
          <w:sz w:val="14"/>
          <w:szCs w:val="14"/>
          <w:color w:val="auto"/>
        </w:rPr>
        <w:t>Prior to seeking such accelerated approval, we will seek feedback from the FDA and otherwise evaluate our ability to seek and receive such accelerated approval. As a condition of approval, the FDA requires that a sponsor of a product receiving accelerated approval perform an adequate and well-controlled post-marketing confirmatory clinical trial or trials. These confirmatory trials must be completed with due diligence and we may be required to evaluate different or additional endpoints in these post-marketing confirmatory trials. These confirmatory trials may require enrollment of more patients than we currently anticipate and will result in additional costs, which may be greater than the estimated costs we currently anticipate. In addition, the FDA currently requires as a condition for accelerated approval preapproval of promotional materials, which could adversely impact the timing of the commercial launch of the product.</w:t>
      </w:r>
    </w:p>
    <w:p>
      <w:pPr>
        <w:spacing w:after="0" w:line="307"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There can be no assurance that the FDA will agree with any proposed surrogate endpoints or that we will decide to pursue or submit an NDA for accelerated approval or any other form of expedited development, review or approval for any of our current or future product candidates.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159"/>
          </w:cols>
          <w:pgMar w:left="300" w:top="415"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41" w:lineRule="exact"/>
        <w:rPr>
          <w:sz w:val="20"/>
          <w:szCs w:val="20"/>
          <w:color w:val="auto"/>
        </w:rPr>
      </w:pPr>
    </w:p>
    <w:p>
      <w:pPr>
        <w:ind w:left="1220" w:right="179" w:firstLine="353"/>
        <w:spacing w:after="0" w:line="245" w:lineRule="auto"/>
        <w:rPr>
          <w:sz w:val="20"/>
          <w:szCs w:val="20"/>
          <w:color w:val="auto"/>
        </w:rPr>
      </w:pPr>
      <w:r>
        <w:rPr>
          <w:rFonts w:ascii="Arial" w:cs="Arial" w:eastAsia="Arial" w:hAnsi="Arial"/>
          <w:sz w:val="14"/>
          <w:szCs w:val="14"/>
          <w:color w:val="auto"/>
        </w:rPr>
        <w:t>Further, there can be no assurance that we will satisfy all FDA requirements, including new provisions, that govern accelerated approval. For example, with the passage of FDORA in December 2022, Congress modified certain provisions governing accelerated approval of products. Specifically, the legislation authorized the FDA to require a sponsor to have its confirmatory clinical trial underway before accelerated approval is awarded and to submit progress reports on its post-approval studies to FDA every six months until the study is completed. Moreover, FDORA established expedited procedures authorizing FDA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the FDA or the designee of the Commissioner of the FDA and a written appeal, among other things. We will need to fully comply with these and other requirements in connection with the development and approval of any product candidate that qualifies for accelerated approval.</w:t>
      </w:r>
    </w:p>
    <w:p>
      <w:pPr>
        <w:spacing w:after="0" w:line="149"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In March 2023, the FDA issued draft guidance that outlines its views and approach to accelerated approval. The FDA indicated that the accelerated approval pathway is commonly used for approval of oncology drugs due to the serious and life-threatening nature of cancer. Although single-arm trials have been commonly used to support accelerated approval, a randomized controlled trial is the preferred approach as it provides a more robust efficacy and safety assessment and allows for direct comparisons to an available therapy. To that end, the FDA outlined considerations for designing, conducting, and analyzing data for trials intended to support accelerated approvals of oncology therapeutics. Subsequently, in December 2024 and January 2025, the FDA issued additional draft guidances relating to accelerated approval. These guidances describe the FDA’s views on what it means to conduct a confirmatory trial with due diligence and how the FDA plans to interpret whether such a study needs to be underway at the time of approval. While these guidances are currently only in draft form and will ultimately not be legally binding even when finalized, sponsors typically observe the FDA’s guidance closely to ensure that their investigational products qualify for accelerated approval.</w:t>
      </w:r>
    </w:p>
    <w:p>
      <w:pPr>
        <w:spacing w:after="0" w:line="146" w:lineRule="exact"/>
        <w:rPr>
          <w:sz w:val="20"/>
          <w:szCs w:val="20"/>
          <w:color w:val="auto"/>
        </w:rPr>
      </w:pPr>
    </w:p>
    <w:p>
      <w:pPr>
        <w:ind w:left="1220" w:right="199" w:firstLine="353"/>
        <w:spacing w:after="0" w:line="249" w:lineRule="auto"/>
        <w:rPr>
          <w:sz w:val="20"/>
          <w:szCs w:val="20"/>
          <w:color w:val="auto"/>
        </w:rPr>
      </w:pPr>
      <w:r>
        <w:rPr>
          <w:rFonts w:ascii="Arial" w:cs="Arial" w:eastAsia="Arial" w:hAnsi="Arial"/>
          <w:sz w:val="14"/>
          <w:szCs w:val="14"/>
          <w:color w:val="auto"/>
        </w:rPr>
        <w:t>In the European Union, a conditional marketing authorization may be granted for certain medicines on less comprehensive clinical data than normally required, where the benefit of immediate availability of the medicine outweighs the risk inherent in the fact that additional data are still required.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 converted to a standard marketing authorization. However, if the conditions are not fulfilled within the timeframe set by the EMA, the marketing authorization will cease to be renewed.</w:t>
      </w:r>
    </w:p>
    <w:p>
      <w:pPr>
        <w:spacing w:after="0" w:line="229" w:lineRule="exact"/>
        <w:rPr>
          <w:sz w:val="20"/>
          <w:szCs w:val="20"/>
          <w:color w:val="auto"/>
        </w:rPr>
      </w:pPr>
    </w:p>
    <w:p>
      <w:pPr>
        <w:ind w:left="1220" w:right="359"/>
        <w:spacing w:after="0" w:line="259" w:lineRule="auto"/>
        <w:rPr>
          <w:sz w:val="20"/>
          <w:szCs w:val="20"/>
          <w:color w:val="auto"/>
        </w:rPr>
      </w:pPr>
      <w:r>
        <w:rPr>
          <w:rFonts w:ascii="Arial" w:cs="Arial" w:eastAsia="Arial" w:hAnsi="Arial"/>
          <w:sz w:val="14"/>
          <w:szCs w:val="14"/>
          <w:b w:val="1"/>
          <w:bCs w:val="1"/>
          <w:i w:val="1"/>
          <w:iCs w:val="1"/>
          <w:color w:val="auto"/>
        </w:rPr>
        <w:t>Our activities, including our interactions with healthcare providers, third party payors, patients and government officials, are, and will continue to be, subject to extensive regulation involving healthcare, anti-corruption, data privacy and security and consumer protection laws. Failure to comply with applicable laws could result in substantial penalties, contractual damages, reputational harm, diminished revenues and curtailment or restructuring of our operations.</w:t>
      </w:r>
    </w:p>
    <w:p>
      <w:pPr>
        <w:spacing w:after="0" w:line="39" w:lineRule="exact"/>
        <w:rPr>
          <w:sz w:val="20"/>
          <w:szCs w:val="20"/>
          <w:color w:val="auto"/>
        </w:rPr>
      </w:pPr>
    </w:p>
    <w:p>
      <w:pPr>
        <w:ind w:left="1220" w:right="359" w:firstLine="353"/>
        <w:spacing w:after="0" w:line="256" w:lineRule="auto"/>
        <w:rPr>
          <w:sz w:val="20"/>
          <w:szCs w:val="20"/>
          <w:color w:val="auto"/>
        </w:rPr>
      </w:pPr>
      <w:r>
        <w:rPr>
          <w:rFonts w:ascii="Arial" w:cs="Arial" w:eastAsia="Arial" w:hAnsi="Arial"/>
          <w:sz w:val="14"/>
          <w:szCs w:val="14"/>
          <w:color w:val="auto"/>
        </w:rPr>
        <w:t>Our activities may now or in the future be directly or indirectly subject to various federal and state laws related to healthcare, anti-corruption, data privacy and security consumer protection.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include, but are not limited to:</w:t>
      </w:r>
    </w:p>
    <w:p>
      <w:pPr>
        <w:spacing w:after="0" w:line="60" w:lineRule="exact"/>
        <w:rPr>
          <w:sz w:val="20"/>
          <w:szCs w:val="20"/>
          <w:color w:val="auto"/>
        </w:rPr>
      </w:pPr>
    </w:p>
    <w:p>
      <w:pPr>
        <w:ind w:left="2000" w:right="419" w:hanging="338"/>
        <w:spacing w:after="0" w:line="263" w:lineRule="auto"/>
        <w:tabs>
          <w:tab w:leader="none" w:pos="20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federal false claims, false statements and civil monetary penalties laws prohibiting, among other things, any person from knowingly presenting, or causing to be presented, a false claim for payment of government funds or knowingly making, or causing to be made, a false statement to get a false claim paid;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159"/>
          </w:cols>
          <w:pgMar w:left="300" w:top="415"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both"/>
        <w:ind w:left="2000" w:right="19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federal anti-kickback law, which prohibits, among other things, persons from offering, soliciting, receiving or providing any remuneration, directly or indirectly, to induce, either the referral of an individual for, or the purchasing or ordering of a good or service, for which payment may be made under federal healthcare programs such as Medicare and Medicaid;</w:t>
      </w:r>
    </w:p>
    <w:p>
      <w:pPr>
        <w:spacing w:after="0" w:line="55" w:lineRule="exact"/>
        <w:rPr>
          <w:rFonts w:ascii="Arial" w:cs="Arial" w:eastAsia="Arial" w:hAnsi="Arial"/>
          <w:sz w:val="14"/>
          <w:szCs w:val="14"/>
          <w:color w:val="auto"/>
        </w:rPr>
      </w:pPr>
    </w:p>
    <w:p>
      <w:pPr>
        <w:jc w:val="both"/>
        <w:ind w:left="2000" w:right="11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federal anti-kickback prohibition known as Eliminating Kickbacks in Recovery Act, enacted in 2018, which prohibits certain payments related to referrals of patients to certain providers (recovery homes, clinical treatment facilities and laboratories) and applies to services reimbursed by private health plans as well as government healthcare programs;</w:t>
      </w:r>
    </w:p>
    <w:p>
      <w:pPr>
        <w:spacing w:after="0" w:line="55" w:lineRule="exact"/>
        <w:rPr>
          <w:rFonts w:ascii="Arial" w:cs="Arial" w:eastAsia="Arial" w:hAnsi="Arial"/>
          <w:sz w:val="14"/>
          <w:szCs w:val="14"/>
          <w:color w:val="auto"/>
        </w:rPr>
      </w:pPr>
    </w:p>
    <w:p>
      <w:pPr>
        <w:ind w:left="2000" w:right="11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federal law known as Health Insurance Portability and Accountability Act of 1996, or HIPAA, which, in addition to privacy protections to healthcare providers and other entities, prohibits executing a scheme to defraud any healthcare benefit program (which may include private health plans) or making false statements relating to healthcare matters;</w:t>
      </w:r>
    </w:p>
    <w:p>
      <w:pPr>
        <w:spacing w:after="0" w:line="55" w:lineRule="exact"/>
        <w:rPr>
          <w:rFonts w:ascii="Arial" w:cs="Arial" w:eastAsia="Arial" w:hAnsi="Arial"/>
          <w:sz w:val="14"/>
          <w:szCs w:val="14"/>
          <w:color w:val="auto"/>
        </w:rPr>
      </w:pPr>
    </w:p>
    <w:p>
      <w:pPr>
        <w:ind w:left="2000" w:right="139" w:hanging="338"/>
        <w:spacing w:after="0" w:line="285"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FDCA, which among other things, strictly regulates drug marketing, prohibits manufacturers from marketing such products for off-label use and regulates the distribution of samples;</w:t>
      </w:r>
    </w:p>
    <w:p>
      <w:pPr>
        <w:spacing w:after="0" w:line="39" w:lineRule="exact"/>
        <w:rPr>
          <w:rFonts w:ascii="Arial" w:cs="Arial" w:eastAsia="Arial" w:hAnsi="Arial"/>
          <w:sz w:val="14"/>
          <w:szCs w:val="14"/>
          <w:color w:val="auto"/>
        </w:rPr>
      </w:pPr>
    </w:p>
    <w:p>
      <w:pPr>
        <w:ind w:left="2000" w:right="15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55" w:lineRule="exact"/>
        <w:rPr>
          <w:rFonts w:ascii="Arial" w:cs="Arial" w:eastAsia="Arial" w:hAnsi="Arial"/>
          <w:sz w:val="14"/>
          <w:szCs w:val="14"/>
          <w:color w:val="auto"/>
        </w:rPr>
      </w:pPr>
    </w:p>
    <w:p>
      <w:pPr>
        <w:ind w:left="2000" w:right="47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so-called “federal sunshine” law, which requires pharmaceutical and medical device companies to monitor and report certain financial interactions with teaching hospitals, physicians and certain non-physician practitioners to the federal government for re-disclosure to the public;</w:t>
      </w:r>
    </w:p>
    <w:p>
      <w:pPr>
        <w:spacing w:after="0" w:line="55" w:lineRule="exact"/>
        <w:rPr>
          <w:rFonts w:ascii="Arial" w:cs="Arial" w:eastAsia="Arial" w:hAnsi="Arial"/>
          <w:sz w:val="14"/>
          <w:szCs w:val="14"/>
          <w:color w:val="auto"/>
        </w:rPr>
      </w:pPr>
    </w:p>
    <w:p>
      <w:pPr>
        <w:ind w:left="2000" w:right="33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privacy, security and breach provisions of HIPAA, which impose obligations on certain “covered entities” (healthcare providers, health plans and healthcare clearinghouses) and certain of their “business associate” contractors with respect to safeguarding the privacy, security and transmission of individually identifiable health information;</w:t>
      </w:r>
    </w:p>
    <w:p>
      <w:pPr>
        <w:spacing w:after="0" w:line="55" w:lineRule="exact"/>
        <w:rPr>
          <w:rFonts w:ascii="Arial" w:cs="Arial" w:eastAsia="Arial" w:hAnsi="Arial"/>
          <w:sz w:val="14"/>
          <w:szCs w:val="14"/>
          <w:color w:val="auto"/>
        </w:rPr>
      </w:pPr>
    </w:p>
    <w:p>
      <w:pPr>
        <w:ind w:left="2000" w:right="279" w:hanging="338"/>
        <w:spacing w:after="0" w:line="263"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federal and state laws and regulations, including state security breach notification laws, state comprehensive privacy laws, state health information privacy laws, and federal and state consumer protection laws, govern the collection, use, disclosure and protection of health-related and other personal information;</w:t>
      </w:r>
    </w:p>
    <w:p>
      <w:pPr>
        <w:spacing w:after="0" w:line="55" w:lineRule="exact"/>
        <w:rPr>
          <w:rFonts w:ascii="Arial" w:cs="Arial" w:eastAsia="Arial" w:hAnsi="Arial"/>
          <w:sz w:val="14"/>
          <w:szCs w:val="14"/>
          <w:color w:val="auto"/>
        </w:rPr>
      </w:pPr>
    </w:p>
    <w:p>
      <w:pPr>
        <w:ind w:left="2000" w:right="479" w:hanging="338"/>
        <w:spacing w:after="0" w:line="285"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federal consumer protection and unfair competition laws, which broadly regulate marketplace activities and activities that potentially harm consumers;</w:t>
      </w:r>
    </w:p>
    <w:p>
      <w:pPr>
        <w:spacing w:after="0" w:line="39"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Foreign Corrupt Practices Act, or FCPA, a United States law which regulates certain financial relationships with foreign government officials (which could include, for example, certain medical professionals); and</w:t>
      </w:r>
    </w:p>
    <w:p>
      <w:pPr>
        <w:spacing w:after="0" w:line="39" w:lineRule="exact"/>
        <w:rPr>
          <w:rFonts w:ascii="Arial" w:cs="Arial" w:eastAsia="Arial" w:hAnsi="Arial"/>
          <w:sz w:val="14"/>
          <w:szCs w:val="14"/>
          <w:color w:val="auto"/>
        </w:rPr>
      </w:pPr>
    </w:p>
    <w:p>
      <w:pPr>
        <w:ind w:left="2000" w:right="219" w:hanging="338"/>
        <w:spacing w:after="0" w:line="252" w:lineRule="auto"/>
        <w:tabs>
          <w:tab w:leader="none" w:pos="20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state law analogues of each of the above federal laws, such as anti-kickback and false claims laws which may apply to items or services reimbursed by any third-party payor, including private health plans, state privacy laws, state consumer protection laws, and state laws regulating interactions between pharmaceutical manufacturers and healthcare providers, requiring disclosure of such financial interactions or mandating adoption of certain compliance standards, many of which differ from each other in significant ways and often are not preempted by federal laws, thus complicating compliance efforts.</w:t>
      </w:r>
    </w:p>
    <w:p>
      <w:pPr>
        <w:spacing w:after="0" w:line="139" w:lineRule="exact"/>
        <w:rPr>
          <w:sz w:val="20"/>
          <w:szCs w:val="20"/>
          <w:color w:val="auto"/>
        </w:rPr>
      </w:pPr>
    </w:p>
    <w:p>
      <w:pPr>
        <w:ind w:left="1220" w:right="179" w:firstLine="353"/>
        <w:spacing w:after="0" w:line="263" w:lineRule="auto"/>
        <w:rPr>
          <w:sz w:val="20"/>
          <w:szCs w:val="20"/>
          <w:color w:val="auto"/>
        </w:rPr>
      </w:pPr>
      <w:r>
        <w:rPr>
          <w:rFonts w:ascii="Arial" w:cs="Arial" w:eastAsia="Arial" w:hAnsi="Arial"/>
          <w:sz w:val="14"/>
          <w:szCs w:val="14"/>
          <w:color w:val="auto"/>
        </w:rPr>
        <w:t>Companies that violate these laws can be subject to civil and criminal fines and penalties for each violation, plus up to three times the remuneration involved, imprisonment, and exclusion from government healthcare programs. Further, lack of knowledge (anti-kickback laws, HIPAA) or lack of intent (false claims laws) may not be valid defenses to violating such laws.</w:t>
      </w:r>
    </w:p>
    <w:p>
      <w:pPr>
        <w:spacing w:after="0" w:line="131" w:lineRule="exact"/>
        <w:rPr>
          <w:sz w:val="20"/>
          <w:szCs w:val="20"/>
          <w:color w:val="auto"/>
        </w:rPr>
      </w:pPr>
    </w:p>
    <w:p>
      <w:pPr>
        <w:ind w:left="1220" w:right="199" w:firstLine="353"/>
        <w:spacing w:after="0" w:line="247" w:lineRule="auto"/>
        <w:rPr>
          <w:sz w:val="20"/>
          <w:szCs w:val="20"/>
          <w:color w:val="auto"/>
        </w:rPr>
      </w:pPr>
      <w:r>
        <w:rPr>
          <w:rFonts w:ascii="Arial" w:cs="Arial" w:eastAsia="Arial" w:hAnsi="Arial"/>
          <w:sz w:val="14"/>
          <w:szCs w:val="14"/>
          <w:color w:val="auto"/>
        </w:rPr>
        <w:t>In addition, the marketing approval and commercialization of any of our product candidates in the European Union and other jurisdictions outside the United States will also likely subject us to foreign equivalents of the healthcare laws mentioned above, among other foreign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our operations are found to be in violation of any of the laws described above or any other governmental regulations that apply to us, we may be subject to penalties, including,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Current and future legislation may increase the difficulty and cost for us to obtain reimbursement for our product candidates.</w:t>
      </w:r>
    </w:p>
    <w:p>
      <w:pPr>
        <w:spacing w:after="0" w:line="86" w:lineRule="exact"/>
        <w:rPr>
          <w:sz w:val="20"/>
          <w:szCs w:val="20"/>
          <w:color w:val="auto"/>
        </w:rPr>
      </w:pPr>
    </w:p>
    <w:p>
      <w:pPr>
        <w:ind w:left="1220" w:right="259" w:firstLine="353"/>
        <w:spacing w:after="0" w:line="263" w:lineRule="auto"/>
        <w:rPr>
          <w:sz w:val="20"/>
          <w:szCs w:val="20"/>
          <w:color w:val="auto"/>
        </w:rPr>
      </w:pPr>
      <w:r>
        <w:rPr>
          <w:rFonts w:ascii="Arial" w:cs="Arial" w:eastAsia="Arial" w:hAnsi="Arial"/>
          <w:sz w:val="14"/>
          <w:szCs w:val="14"/>
          <w:color w:val="auto"/>
        </w:rPr>
        <w:t>In the United States and some foreign jurisdictions, there have been and continue to be a number of legislative and regulatory changes and proposed changes regarding the healthcare system that could, among other things, prevent or delay marketing approval of our product candidates, restrict or regulate post-approval activities and affect our ability to</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159"/>
          </w:cols>
          <w:pgMar w:left="300" w:top="415"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spacing w:after="0" w:line="256" w:lineRule="auto"/>
        <w:rPr>
          <w:sz w:val="20"/>
          <w:szCs w:val="20"/>
          <w:color w:val="auto"/>
        </w:rPr>
      </w:pPr>
      <w:r>
        <w:rPr>
          <w:rFonts w:ascii="Arial" w:cs="Arial" w:eastAsia="Arial" w:hAnsi="Arial"/>
          <w:sz w:val="14"/>
          <w:szCs w:val="14"/>
          <w:color w:val="auto"/>
        </w:rPr>
        <w:t>profitably sell any products for which we obtain marketing approval. We expect that current laws, as well as other healthcare reform measures that may be adopted in the future, may result in more rigorous coverage criteria and additional downward pressure on the price that we may receive for any approved products. If reimbursement of our products is unavailable or limited in scope, our business could be materially harmed.</w:t>
      </w:r>
    </w:p>
    <w:p>
      <w:pPr>
        <w:spacing w:after="0" w:line="135"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The ACA was enacted in March 2010, and other legislative changes have been proposed and adopted since its enactment. In August 2011, the Budget Control Act of 2011, among other things, created measures for spending reductions by Congress. A Joint Select Committee on Deficit Reduction, tasked with recommending a targeted deficit reduction of at least $ 1.2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141"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products or product candidates for which we may obtain marketing approval or the frequency with which any such product is prescribed or used.</w:t>
      </w:r>
    </w:p>
    <w:p>
      <w:pPr>
        <w:spacing w:after="0" w:line="135" w:lineRule="exact"/>
        <w:rPr>
          <w:sz w:val="20"/>
          <w:szCs w:val="20"/>
          <w:color w:val="auto"/>
        </w:rPr>
      </w:pPr>
    </w:p>
    <w:p>
      <w:pPr>
        <w:ind w:left="1220" w:right="359" w:firstLine="353"/>
        <w:spacing w:after="0" w:line="250" w:lineRule="auto"/>
        <w:rPr>
          <w:sz w:val="20"/>
          <w:szCs w:val="20"/>
          <w:color w:val="auto"/>
        </w:rPr>
      </w:pPr>
      <w:r>
        <w:rPr>
          <w:rFonts w:ascii="Arial" w:cs="Arial" w:eastAsia="Arial" w:hAnsi="Arial"/>
          <w:sz w:val="14"/>
          <w:szCs w:val="14"/>
          <w:color w:val="auto"/>
        </w:rPr>
        <w:t>Since enactment of the ACA, there have been and continue to be numerous legal challenges and U.S. congressional actions to repeal and replace provisions of the law. For example, with enactment of the Tax Cuts and Jobs Act, or the Tax Act, in 2017, Congress repealed the “individual mandate.” The repeal of this provision, which requires most Americans to carry a minimal level of health insurance, became effective in 2019. On June 17, 2021, the U.S. Supreme Court dismissed a challenge to the ACA brought by several states without specifically ruling on the constitutionality of the ACA. Litigation and legislation over the ACA are likely to continue, with unpredictable and uncertain results.</w:t>
      </w:r>
    </w:p>
    <w:p>
      <w:pPr>
        <w:spacing w:after="0" w:line="141"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In the European Union, on December 13, 2021, Regulation (EU) 2021/2282 on Health Technology Assessment, or HTA, amending Directive 2011/24/EU, was adopted. While the Regulation entered into force in January 2022, it only began to apply from January 2025 onwards and has a phased implementation depending on the concerned products. The Regulation intends to boost cooperation among European Union member states in assessing health technologies, including new medicinal products as well as certain high-risk medical devices, and provide the basis for cooperation at the EU level for joint clinical assessments in these areas. It permits European Union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European Union member states will continue to be responsible for assessing non-clinical (e.g., economic, social, ethical) aspects of health technology and making decisions on pricing and reimbursement.</w:t>
      </w:r>
    </w:p>
    <w:p>
      <w:pPr>
        <w:spacing w:after="0" w:line="143"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229" w:lineRule="exact"/>
        <w:rPr>
          <w:sz w:val="20"/>
          <w:szCs w:val="20"/>
          <w:color w:val="auto"/>
        </w:rPr>
      </w:pPr>
    </w:p>
    <w:p>
      <w:pPr>
        <w:ind w:left="1220" w:right="219"/>
        <w:spacing w:after="0" w:line="294" w:lineRule="auto"/>
        <w:rPr>
          <w:sz w:val="20"/>
          <w:szCs w:val="20"/>
          <w:color w:val="auto"/>
        </w:rPr>
      </w:pPr>
      <w:r>
        <w:rPr>
          <w:rFonts w:ascii="Arial" w:cs="Arial" w:eastAsia="Arial" w:hAnsi="Arial"/>
          <w:sz w:val="14"/>
          <w:szCs w:val="14"/>
          <w:b w:val="1"/>
          <w:bCs w:val="1"/>
          <w:i w:val="1"/>
          <w:iCs w:val="1"/>
          <w:color w:val="auto"/>
        </w:rPr>
        <w:t>The prices of prescription pharmaceuticals in the United States and foreign jurisdictions are subject to considerable legislative and executive actions and could impact the prices we obtain for our products, if and when licensed.</w:t>
      </w:r>
    </w:p>
    <w:p>
      <w:pPr>
        <w:spacing w:after="0" w:line="15"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159"/>
          </w:cols>
          <w:pgMar w:left="300" w:top="415"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For example,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FDA to obtain initial feedback from FDA prior to formally submitting their SIP proposals. The intent of these meetings is to assist states in developing their proposals by further clarifying requirements, enhancing the quality of proposals submitted to the FDA and ultimately shortening the review timeline.</w:t>
      </w:r>
    </w:p>
    <w:p>
      <w:pPr>
        <w:spacing w:after="0" w:line="143"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In August 2022, the Inflation Reduction Act, or IRA, was signed into law by President Biden. The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HHS to implement many of these provisions through guidance, as opposed to regulation, for the initial years.</w:t>
      </w:r>
    </w:p>
    <w:p>
      <w:pPr>
        <w:spacing w:after="0" w:line="143" w:lineRule="exact"/>
        <w:rPr>
          <w:sz w:val="20"/>
          <w:szCs w:val="20"/>
          <w:color w:val="auto"/>
        </w:rPr>
      </w:pPr>
    </w:p>
    <w:p>
      <w:pPr>
        <w:ind w:left="1220" w:right="139" w:firstLine="353"/>
        <w:spacing w:after="0" w:line="245" w:lineRule="auto"/>
        <w:rPr>
          <w:sz w:val="20"/>
          <w:szCs w:val="20"/>
          <w:color w:val="auto"/>
        </w:rPr>
      </w:pPr>
      <w:r>
        <w:rPr>
          <w:rFonts w:ascii="Arial" w:cs="Arial" w:eastAsia="Arial" w:hAnsi="Arial"/>
          <w:sz w:val="14"/>
          <w:szCs w:val="14"/>
          <w:color w:val="auto"/>
        </w:rPr>
        <w:t>Further, 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law also capped Medicare out-of-pocket drug costs at an estimated $4,000 a year in 2024 and at $2,000 a year in 2025 and onwards.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145"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additional Medicare Part D drugs in 2027, 15 additional Medicare Part B or Part D drugs in 2028, and 20 additional Medicare Part B or Part D drugs per year in 2029 and beyond. This provision applies to drug products that have been approved for at least nine years. Drugs that have been approved for a single rare disease or condition were originally categorically excluded from price negotiation. With the passage of the One Big Beautiful Bill Act, or OBBBA, on July 3, 2025, which was signed into law on July 4, 2025, Congress extended this exemption to drugs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any of our product candidates, if approved, or the full value of our patents protecting any such approved drug products if prices are set after any such approved products have been on the market for nine years.</w:t>
      </w:r>
    </w:p>
    <w:p>
      <w:pPr>
        <w:spacing w:after="0" w:line="149" w:lineRule="exact"/>
        <w:rPr>
          <w:sz w:val="20"/>
          <w:szCs w:val="20"/>
          <w:color w:val="auto"/>
        </w:rPr>
      </w:pPr>
    </w:p>
    <w:p>
      <w:pPr>
        <w:ind w:left="1220" w:right="299" w:firstLine="353"/>
        <w:spacing w:after="0" w:line="252" w:lineRule="auto"/>
        <w:rPr>
          <w:sz w:val="20"/>
          <w:szCs w:val="20"/>
          <w:color w:val="auto"/>
        </w:rPr>
      </w:pPr>
      <w:r>
        <w:rPr>
          <w:rFonts w:ascii="Arial" w:cs="Arial" w:eastAsia="Arial" w:hAnsi="Arial"/>
          <w:sz w:val="14"/>
          <w:szCs w:val="14"/>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159"/>
          </w:cols>
          <w:pgMar w:left="300" w:top="41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spacing w:after="0" w:line="249" w:lineRule="auto"/>
        <w:rPr>
          <w:sz w:val="20"/>
          <w:szCs w:val="20"/>
          <w:color w:val="auto"/>
        </w:rPr>
      </w:pPr>
      <w:r>
        <w:rPr>
          <w:rFonts w:ascii="Arial" w:cs="Arial" w:eastAsia="Arial" w:hAnsi="Arial"/>
          <w:sz w:val="14"/>
          <w:szCs w:val="14"/>
          <w:color w:val="auto"/>
        </w:rPr>
        <w:t>On June 6, 2023, Merck &amp; Co. filed a lawsuit against HHS and CMS asserting that, among other things, the IRA’s Drug Price Negotiation Program for Medicare constitutes an uncompensated taking in violation of the Fifth Amendment of the U.S.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U.S. Constitution. Litigation involving these and other provisions of the IRA will continue with unpredictable and uncertain results.</w:t>
      </w:r>
    </w:p>
    <w:p>
      <w:pPr>
        <w:spacing w:after="0" w:line="140"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if approved, any of which could adversely affect our business, results of operations and financial condition.</w:t>
      </w:r>
    </w:p>
    <w:p>
      <w:pPr>
        <w:spacing w:after="0" w:line="139" w:lineRule="exact"/>
        <w:rPr>
          <w:sz w:val="20"/>
          <w:szCs w:val="20"/>
          <w:color w:val="auto"/>
        </w:rPr>
      </w:pPr>
    </w:p>
    <w:p>
      <w:pPr>
        <w:ind w:left="1220" w:right="99" w:firstLine="353"/>
        <w:spacing w:after="0" w:line="245" w:lineRule="auto"/>
        <w:rPr>
          <w:sz w:val="20"/>
          <w:szCs w:val="20"/>
          <w:color w:val="auto"/>
        </w:rPr>
      </w:pPr>
      <w:r>
        <w:rPr>
          <w:rFonts w:ascii="Arial" w:cs="Arial" w:eastAsia="Arial" w:hAnsi="Arial"/>
          <w:sz w:val="14"/>
          <w:szCs w:val="14"/>
          <w:color w:val="auto"/>
        </w:rPr>
        <w:t>In addition, the Trump Administration has taken a number of actions to reduce the costs of pharmaceutical products. For example, on April 15, 2025, President Trump issued an Executive Order which directs HHS to take steps to reduce the prices of pharmaceutical products. Such measures include streamlining the state drug importation program and modifying provisions of the 340B program. Further, on May 12, 2025, President Trump issued an additional Executive Order calling on pharmaceutical manufacturers to voluntarily reduce the prices of medicines in the United States. The Executive Order provides that if such actions do not lower the costs of pharmaceuticals, the Secretary of HHS would pursue other actions, including proposing a rulemaking that imposes most-favored nation, or MFN, pricing in the United States. Thereafter,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Since that time, virtually all of these pharmaceutical companies have entered into agreements with the Trump Administration to provide for lower prices on certain pharmaceuticals. On February 5, 2026, President Trump launched TrumpRx.gov, a website that directs individuals to pharmaceutical manufacturer websites that are offering price discounts based on the administration’s pricing agreements with pharmaceutical manufacturers.</w:t>
      </w:r>
    </w:p>
    <w:p>
      <w:pPr>
        <w:spacing w:after="0" w:line="311" w:lineRule="exact"/>
        <w:rPr>
          <w:sz w:val="20"/>
          <w:szCs w:val="20"/>
          <w:color w:val="auto"/>
        </w:rPr>
      </w:pPr>
    </w:p>
    <w:p>
      <w:pPr>
        <w:ind w:left="1220" w:right="239" w:firstLine="353"/>
        <w:spacing w:after="0" w:line="247" w:lineRule="auto"/>
        <w:rPr>
          <w:sz w:val="20"/>
          <w:szCs w:val="20"/>
          <w:color w:val="auto"/>
        </w:rPr>
      </w:pPr>
      <w:r>
        <w:rPr>
          <w:rFonts w:ascii="Arial" w:cs="Arial" w:eastAsia="Arial" w:hAnsi="Arial"/>
          <w:sz w:val="14"/>
          <w:szCs w:val="14"/>
          <w:color w:val="auto"/>
        </w:rPr>
        <w:t>On December 23, 2025, CMS, through its Center for Medicare and Medicaid Innovation,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Organisation for Economic Co-operation and Development countries with a gross domestic product of $400 billion and a per capita gross domestic product that is at least 60% of the U.S. per capita gross domestic product (an initial list of 19 reference countries is included in the proposed rule). The pilot programs are proposed to go into effect beginning October 1, 2026.</w:t>
      </w:r>
    </w:p>
    <w:p>
      <w:pPr>
        <w:spacing w:after="0" w:line="308" w:lineRule="exact"/>
        <w:rPr>
          <w:sz w:val="20"/>
          <w:szCs w:val="20"/>
          <w:color w:val="auto"/>
        </w:rPr>
      </w:pPr>
    </w:p>
    <w:p>
      <w:pPr>
        <w:ind w:left="1220" w:right="159" w:firstLine="353"/>
        <w:spacing w:after="0" w:line="245" w:lineRule="auto"/>
        <w:rPr>
          <w:sz w:val="20"/>
          <w:szCs w:val="20"/>
          <w:color w:val="auto"/>
        </w:rPr>
      </w:pPr>
      <w:r>
        <w:rPr>
          <w:rFonts w:ascii="Arial" w:cs="Arial" w:eastAsia="Arial" w:hAnsi="Arial"/>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States, including through their Medicaid programs and regulatory agencies, as well as other payers are developing strategies and implementing significant coverage barriers, or refusing to cover these products outright, arguing that accelerated approval products have insufficient or limited evidence despite meeting the FDA’s standards for accelerated approval. Certain states are also pursuing cost containment efforts through Prescription Drug Affordability Boards, or PDABs, and similar entities. While many PDABs have been granted authority to promote drug price transparency and reporting, some states have granted PDABs more expansive authority, including to set Upper Payment Limits, or UPLs, on select, high price drugs. The adoption and implementation of UPLs may put downward pressure on drug prices and impact our company’s future revenues.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if approved, or put pressure on our product pricing.</w:t>
      </w:r>
    </w:p>
    <w:p>
      <w:pPr>
        <w:spacing w:after="0" w:line="9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159"/>
          </w:cols>
          <w:pgMar w:left="300" w:top="415"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w:t>
      </w:r>
    </w:p>
    <w:p>
      <w:pPr>
        <w:spacing w:after="0" w:line="141"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In the European Union, similar political, economic and regulatory developments may affect our ability to profitably commercialize our product candidates, if approved. In markets outside of the United States and the European Union, reimbursement and healthcare payment systems vary significantly by country and many countries have instituted price ceilings on specific products and therapies. In many countries, including those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any future collaborators of ours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229" w:lineRule="exact"/>
        <w:rPr>
          <w:sz w:val="20"/>
          <w:szCs w:val="20"/>
          <w:color w:val="auto"/>
        </w:rPr>
      </w:pPr>
    </w:p>
    <w:p>
      <w:pPr>
        <w:ind w:left="1220" w:right="279"/>
        <w:spacing w:after="0" w:line="268" w:lineRule="auto"/>
        <w:rPr>
          <w:sz w:val="20"/>
          <w:szCs w:val="20"/>
          <w:color w:val="auto"/>
        </w:rPr>
      </w:pPr>
      <w:r>
        <w:rPr>
          <w:rFonts w:ascii="Arial" w:cs="Arial" w:eastAsia="Arial" w:hAnsi="Arial"/>
          <w:sz w:val="14"/>
          <w:szCs w:val="14"/>
          <w:b w:val="1"/>
          <w:bCs w:val="1"/>
          <w:i w:val="1"/>
          <w:iCs w:val="1"/>
          <w:color w:val="auto"/>
        </w:rPr>
        <w:t>We are subject to stringent privacy laws, information security laws, regulations, policies and contractual obligations related to data privacy and security, and a failure to comply with such requirements could subject us to significant fines and penalties, which may have a material adverse effect on our business, financial condition or results of operations.</w:t>
      </w:r>
    </w:p>
    <w:p>
      <w:pPr>
        <w:spacing w:after="0" w:line="32"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We are subject to data privacy and protection laws and regulations that apply to the collection, transmission, storage, use, disclosure and other processing of sensitive, confidential and personally identifying information, which among other things, impose certain requirements relating to the privacy, security and transmission of such information, including comprehensive regulatory systems in the United States, European Union and United Kingdom.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141"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There are numerous U.S. federal and state laws and regulations related to the privacy and security of personal information. At the federal level,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140" w:lineRule="exact"/>
        <w:rPr>
          <w:sz w:val="20"/>
          <w:szCs w:val="20"/>
          <w:color w:val="auto"/>
        </w:rPr>
      </w:pPr>
    </w:p>
    <w:p>
      <w:pPr>
        <w:ind w:left="1220" w:right="159" w:firstLine="353"/>
        <w:spacing w:after="0" w:line="247" w:lineRule="auto"/>
        <w:rPr>
          <w:sz w:val="20"/>
          <w:szCs w:val="20"/>
          <w:color w:val="auto"/>
        </w:rPr>
      </w:pPr>
      <w:r>
        <w:rPr>
          <w:rFonts w:ascii="Arial" w:cs="Arial" w:eastAsia="Arial" w:hAnsi="Arial"/>
          <w:sz w:val="14"/>
          <w:szCs w:val="14"/>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under HIPAA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including pursuant to the state privacy laws discussed below.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43"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159"/>
          </w:cols>
          <w:pgMar w:left="300" w:top="415"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Federal Trade Commission Act of 1914, as well as the types of activities it views to trigger the Health Breach Notification Rule (which the FTC also has the authority to enforce).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security practices (depending on the nature of the alleged violations). If we violate any consent order that we reach with the FTC, we may be subject to additional fines and compliance requirements.</w:t>
      </w:r>
    </w:p>
    <w:p>
      <w:pPr>
        <w:spacing w:after="0" w:line="141" w:lineRule="exact"/>
        <w:rPr>
          <w:sz w:val="20"/>
          <w:szCs w:val="20"/>
          <w:color w:val="auto"/>
        </w:rPr>
      </w:pPr>
    </w:p>
    <w:p>
      <w:pPr>
        <w:ind w:left="1220" w:right="219" w:firstLine="353"/>
        <w:spacing w:after="0" w:line="249" w:lineRule="auto"/>
        <w:rPr>
          <w:sz w:val="20"/>
          <w:szCs w:val="20"/>
          <w:color w:val="auto"/>
        </w:rPr>
      </w:pPr>
      <w:r>
        <w:rPr>
          <w:rFonts w:ascii="Arial" w:cs="Arial" w:eastAsia="Arial" w:hAnsi="Arial"/>
          <w:sz w:val="14"/>
          <w:szCs w:val="14"/>
          <w:color w:val="auto"/>
        </w:rPr>
        <w:t>There are also increased restrictions at the federal level relating to transferring sensitive data outside of the United States to certain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40"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Numerous states have also created comprehensive privacy laws which govern the processing of personal information. For example, the California Consumer Privacy Act, or the CCPA, took effect on January 1, 2020 and imposed many requirements on businesses that process the personal information of California residents. Many of the CCPA’s requirements are similar to those found in the EU General Data Protection Regulation, or the EU GDPR, which is further described below,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 out of “sales” of their personal information. The CCPA contains significant penalties for companies that violate its requirements. The California Privacy Rights Act, or the CPRA, went into effect on January 1, 2023 and significantly expanded the CCPA to incorporate additional EU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an enforcement agency—the California Privacy Protection Agency—the sole responsibility of which is to enforce the CPRA and other California privacy laws, which will further increase compliance risk. The provisions in the CPRA may apply to some of our business activities.</w:t>
      </w:r>
    </w:p>
    <w:p>
      <w:pPr>
        <w:spacing w:after="0" w:line="309" w:lineRule="exact"/>
        <w:rPr>
          <w:sz w:val="20"/>
          <w:szCs w:val="20"/>
          <w:color w:val="auto"/>
        </w:rPr>
      </w:pPr>
    </w:p>
    <w:p>
      <w:pPr>
        <w:ind w:left="1220" w:right="219" w:firstLine="353"/>
        <w:spacing w:after="0" w:line="247" w:lineRule="auto"/>
        <w:rPr>
          <w:sz w:val="20"/>
          <w:szCs w:val="20"/>
          <w:color w:val="auto"/>
        </w:rPr>
      </w:pPr>
      <w:r>
        <w:rPr>
          <w:rFonts w:ascii="Arial" w:cs="Arial" w:eastAsia="Arial" w:hAnsi="Arial"/>
          <w:sz w:val="14"/>
          <w:szCs w:val="14"/>
          <w:color w:val="auto"/>
        </w:rPr>
        <w:t>In addition to California, a number of other states have passed similarly comprehensive privacy laws. Like the CCPA,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specifically regulating specific categories of personal information, such as health information that may affect our business. For example, the State of Washington recently passed a health privacy law that will regulate the collection and sharing of health information, and the law also has a private right of action, which further increases the relevant compliance risk. Additionally, a small number of states, such as Illinois and Texas, have enacted laws that specifically target the collection and use of biometric information. These laws may impact our business activities, including our identification of research subjects, relationships with business partners and ultimately the marketing and distribution of our products.</w:t>
      </w:r>
    </w:p>
    <w:p>
      <w:pPr>
        <w:spacing w:after="0" w:line="143"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Additionally, laws in all 50 states require businesses to provide notice to customers whose personal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affected individuals or other counterparties of a cybersecurity incident, data breach, or other compromise. Although we may have contractual protections with our vendors, any actual or perceived security breach, incident, or compromise could harm our reputation and brand, expose us to potential liability or require us to expend significant resources on data security and in responding to any such actual or perceived cybersecurity incident, data breach, or other compromise. Any contractual protections we may have from our vendors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w:t>
      </w: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159"/>
          </w:cols>
          <w:pgMar w:left="300" w:top="415"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firstLine="353"/>
        <w:spacing w:after="0" w:line="253" w:lineRule="auto"/>
        <w:rPr>
          <w:sz w:val="20"/>
          <w:szCs w:val="20"/>
          <w:color w:val="auto"/>
        </w:rPr>
      </w:pPr>
      <w:r>
        <w:rPr>
          <w:rFonts w:ascii="Arial" w:cs="Arial" w:eastAsia="Arial" w:hAnsi="Arial"/>
          <w:sz w:val="14"/>
          <w:szCs w:val="14"/>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30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 xml:space="preserve">Similar to the laws in the United States, there are significant and evolving privacy and data security laws that apply in Europe and other countries. The collection, use, disclosure, transfer or other processing of personal data, including personal health data, regarding individuals who are located in the EEA and the United Kingdom and the processing of personal data that takes place in the EEA and the United Kingdom, is regulated by the EU GDPR with respect to the EEA, and the U.K. General Data Protection Regulation, or U.K. GDPR, with respect to the United Kingdom, and collectively with the EU GDPR referred to as the “GDPR” in this report unless specified otherwise. The GDPR applies to all organizations processing or holding personal data of EEA and/or U.K. data subjects (regardless of the organization’s location) as well as to organizations outside these jurisdictions that offer goods or services in the EEA and United Kingdom, or that monitor the behavior of EEA and/or U.K. data subjects. The GDPR imposes extensive obligations on companies that process personal data, including requirements relating to lawful bases for processing, transparency, consent where required, security safeguards, data processing agreements, data subject rights, breach notification, record-keeping, data protection impact assessments and, in some cases, appointment of a data protection officer. It also restricts transfers of personal data outside the EEA and United Kingdom (including to the United States). Breaches can result in significant penalties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 £17.5 million or 4% of global annual turnover, whichever is higher), and data subjects have rights to lodge complaints and seek compensation.</w:t>
      </w:r>
    </w:p>
    <w:p>
      <w:pPr>
        <w:spacing w:after="0" w:line="148" w:lineRule="exact"/>
        <w:rPr>
          <w:sz w:val="20"/>
          <w:szCs w:val="20"/>
          <w:color w:val="auto"/>
        </w:rPr>
      </w:pPr>
    </w:p>
    <w:p>
      <w:pPr>
        <w:ind w:left="1220" w:right="119" w:firstLine="353"/>
        <w:spacing w:after="0" w:line="244" w:lineRule="auto"/>
        <w:rPr>
          <w:sz w:val="20"/>
          <w:szCs w:val="20"/>
          <w:color w:val="auto"/>
        </w:rPr>
      </w:pPr>
      <w:r>
        <w:rPr>
          <w:rFonts w:ascii="Arial" w:cs="Arial" w:eastAsia="Arial" w:hAnsi="Arial"/>
          <w:sz w:val="14"/>
          <w:szCs w:val="14"/>
          <w:color w:val="auto"/>
        </w:rPr>
        <w:t>The GDPR imposes strict rules on the transfer of personal data out of the EEA/United Kingdom to countries not regarded by the European Commission and the U.K. government as providing adequate protection, or third countries, including the United States. These transfers are prohibited unless an appropriate safeguard specified by data protection laws is implemented, such as the Standard Contractual Clauses, or SCCs, approved by the European Commission, or a derogation applies. Transfers made pursuant to the SCCs need to be assessed on a case-by-case basis to ensure the law in the recipient country provides “essentially equivalent” protections to safeguard the transferred data. If the standard is not met, businesses will be required to adopt supplementary measures. Further, the European Union and United States have adopted its adequacy decision for the EU-U.S. Data Privacy Framework, or the Framework, which entered into force on July 11, 2023. This Framework provides that the protection of personal data transferred between the European Union and the United States is comparable to that offered in the European Union. This provides a further avenue to ensuring transfers to the United States are carried out in line with the GDPR. The United Kingdom is not subject to the European Commission’s SCCs but the U.K. Information Commissioner’s Office has published the United Kingdom’s own transfer mechanisms for personal data originating from the United Kingdom (the International Data Transfer Agreement and International Data Transfer Addendum, or, each, an IDTA), which have been in force since March 21, 2022. The IDTA requires the same case-by-case risk assessment of the transfer. In addition,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EEA/U.K. personal data is located and which service providers we can utilize for the processing of EEA/U.K. personal data, particularly as the enforcement around GDPR international transfer compliance obligations is currently unclear. The above transfer requirements and other future developments regarding the flow of data across borders could increase the cost and complexity of delivering our services in some markets and may lead to governmental enforcement actions, litigation, fines, and penalties or adverse publicity, which could adversely affect our business and financial position.</w:t>
      </w:r>
    </w:p>
    <w:p>
      <w:pPr>
        <w:spacing w:after="0" w:line="146"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Although the United Kingdom is regarded as a third country under the EU GDPR, the European Commission has now issued a decision recognizing the United Kingdom as providing adequate protection under the EU GDPR and, therefore, transfers of personal data originating in the European Union to the United Kingdom remain unrestricted. In December 2025, the European Commission adopted a decision to extend the validity of the U.K. adequacy decision for six years until December 2031, determining that the United Kingdom continues to offer a level of data protection that is “essentially equivalent” to the EU standards. This follows the United Kingdom’s adoption of the Data (Use and Access) Act 2025 on June 19, 2025. Like the EU GDPR, the U.K. GDPR restricts personal data transfers outside the United Kingdom to countries not regarded by the United Kingdom as providing adequate protection. The U.K. government has confirmed that personal data transfers from the United Kingdom to the EEA remain free flowing. The respective provisions and enforcement of the EU GDPR and U.K. GDPR may further diverge in the future and create additional regulatory challenges and uncertainties.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United Kingdom and the EEA.</w:t>
      </w:r>
    </w:p>
    <w:p>
      <w:pPr>
        <w:spacing w:after="0" w:line="25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159"/>
          </w:cols>
          <w:pgMar w:left="300" w:top="415"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if approved, through increased compliance costs, costs associated with contracting and potential enforcement actions.</w:t>
      </w:r>
    </w:p>
    <w:p>
      <w:pPr>
        <w:spacing w:after="0" w:line="135" w:lineRule="exact"/>
        <w:rPr>
          <w:sz w:val="20"/>
          <w:szCs w:val="20"/>
          <w:color w:val="auto"/>
        </w:rPr>
      </w:pPr>
    </w:p>
    <w:p>
      <w:pPr>
        <w:ind w:left="1220" w:right="179" w:firstLine="353"/>
        <w:spacing w:after="0" w:line="246" w:lineRule="auto"/>
        <w:rPr>
          <w:sz w:val="20"/>
          <w:szCs w:val="20"/>
          <w:color w:val="auto"/>
        </w:rPr>
      </w:pPr>
      <w:r>
        <w:rPr>
          <w:rFonts w:ascii="Arial" w:cs="Arial" w:eastAsia="Arial" w:hAnsi="Arial"/>
          <w:sz w:val="14"/>
          <w:szCs w:val="14"/>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such evolving data protection laws, rules and regulations may be unsuccessful. These laws are not consistent, and compliance in the event of a widespread data breach is costly and time-consuming. It is possible that these laws may be interpreted and applied in a manner that is inconsistent with our practices, which could adversely affect our business. We must devote significant resources to understanding and complying with this changing landscape. Failure by us or our third-party vendors to comply with federal, state and international laws regarding privacy and security of personal information could expose us to the risk of enforcement actions taken by data protection authorities and can carry with it the potential for significant fines and penalties under such laws if we are found to be non-compliant.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spacing w:after="0" w:line="232" w:lineRule="exact"/>
        <w:rPr>
          <w:sz w:val="20"/>
          <w:szCs w:val="20"/>
          <w:color w:val="auto"/>
        </w:rPr>
      </w:pPr>
    </w:p>
    <w:p>
      <w:pPr>
        <w:ind w:left="1220" w:right="299"/>
        <w:spacing w:after="0" w:line="294" w:lineRule="auto"/>
        <w:rPr>
          <w:sz w:val="20"/>
          <w:szCs w:val="20"/>
          <w:color w:val="auto"/>
        </w:rPr>
      </w:pPr>
      <w:r>
        <w:rPr>
          <w:rFonts w:ascii="Arial" w:cs="Arial" w:eastAsia="Arial" w:hAnsi="Arial"/>
          <w:sz w:val="14"/>
          <w:szCs w:val="14"/>
          <w:b w:val="1"/>
          <w:bCs w:val="1"/>
          <w:i w:val="1"/>
          <w:iCs w:val="1"/>
          <w:color w:val="auto"/>
        </w:rPr>
        <w:t>Laws and regulations governing international operations may preclude us from developing, manufacturing and selling certain products outside of the United States and require us to develop and implement costly compliance programs.</w:t>
      </w:r>
    </w:p>
    <w:p>
      <w:pPr>
        <w:spacing w:after="0" w:line="15" w:lineRule="exact"/>
        <w:rPr>
          <w:sz w:val="20"/>
          <w:szCs w:val="20"/>
          <w:color w:val="auto"/>
        </w:rPr>
      </w:pPr>
    </w:p>
    <w:p>
      <w:pPr>
        <w:ind w:left="1220" w:right="259" w:firstLine="353"/>
        <w:spacing w:after="0" w:line="285" w:lineRule="auto"/>
        <w:rPr>
          <w:sz w:val="20"/>
          <w:szCs w:val="20"/>
          <w:color w:val="auto"/>
        </w:rPr>
      </w:pPr>
      <w:r>
        <w:rPr>
          <w:rFonts w:ascii="Arial" w:cs="Arial" w:eastAsia="Arial" w:hAnsi="Arial"/>
          <w:sz w:val="14"/>
          <w:szCs w:val="14"/>
          <w:color w:val="auto"/>
        </w:rPr>
        <w:t>We have operations in Denmark and are required to dedicate additional resources to comply with U.S. laws regarding international operations and the laws and regulations in Denmark and any additional jurisdiction in which we operate.</w:t>
      </w:r>
    </w:p>
    <w:p>
      <w:pPr>
        <w:spacing w:after="0" w:line="115"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41" w:lineRule="exact"/>
        <w:rPr>
          <w:sz w:val="20"/>
          <w:szCs w:val="20"/>
          <w:color w:val="auto"/>
        </w:rPr>
      </w:pPr>
    </w:p>
    <w:p>
      <w:pPr>
        <w:ind w:left="1220" w:right="119" w:firstLine="353"/>
        <w:spacing w:after="0" w:line="253" w:lineRule="auto"/>
        <w:rPr>
          <w:sz w:val="20"/>
          <w:szCs w:val="20"/>
          <w:color w:val="auto"/>
        </w:rPr>
      </w:pPr>
      <w:r>
        <w:rPr>
          <w:rFonts w:ascii="Arial" w:cs="Arial" w:eastAsia="Arial" w:hAnsi="Arial"/>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30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anti-bribery laws of European Union member states, such as the U.K. Bribery Act 2010. Infringement of these laws could result in substantial fines and imprisonment. 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43"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If we expand our international presence beyond Denmark,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The creation, implementation and maintenance of international business practices compliance programs may be necessary and costly, and such programs are difficult to enforce, particularly where reliance on third parties is required. 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8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159"/>
          </w:cols>
          <w:pgMar w:left="300" w:top="415"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399"/>
        <w:spacing w:after="0" w:line="294" w:lineRule="auto"/>
        <w:rPr>
          <w:sz w:val="20"/>
          <w:szCs w:val="20"/>
          <w:color w:val="auto"/>
        </w:rPr>
      </w:pPr>
      <w:r>
        <w:rPr>
          <w:rFonts w:ascii="Arial" w:cs="Arial" w:eastAsia="Arial" w:hAnsi="Arial"/>
          <w:sz w:val="14"/>
          <w:szCs w:val="14"/>
          <w:b w:val="1"/>
          <w:bCs w:val="1"/>
          <w:i w:val="1"/>
          <w:iCs w:val="1"/>
          <w:color w:val="auto"/>
        </w:rPr>
        <w:t>We and our third-party contract manufacturers must comply with environmental, health and safety laws and regulations, and failure to comply with these laws and regulations could expose us to significant costs or liabilities.</w:t>
      </w:r>
    </w:p>
    <w:p>
      <w:pPr>
        <w:spacing w:after="0" w:line="15" w:lineRule="exact"/>
        <w:rPr>
          <w:sz w:val="20"/>
          <w:szCs w:val="20"/>
          <w:color w:val="auto"/>
        </w:rPr>
      </w:pPr>
    </w:p>
    <w:p>
      <w:pPr>
        <w:ind w:left="1220" w:right="199" w:firstLine="353"/>
        <w:spacing w:after="0" w:line="246" w:lineRule="auto"/>
        <w:rPr>
          <w:sz w:val="20"/>
          <w:szCs w:val="20"/>
          <w:color w:val="auto"/>
        </w:rPr>
      </w:pPr>
      <w:r>
        <w:rPr>
          <w:rFonts w:ascii="Arial" w:cs="Arial" w:eastAsia="Arial" w:hAnsi="Arial"/>
          <w:sz w:val="14"/>
          <w:szCs w:val="14"/>
          <w:color w:val="auto"/>
        </w:rPr>
        <w:t>We and our third-party manufacturers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and any such liability could exceed our assets and resources. We could also incur significant costs associated with civil or criminal fines and penalties for failure to comply with such laws and regulations.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3" w:lineRule="exact"/>
        <w:rPr>
          <w:sz w:val="20"/>
          <w:szCs w:val="20"/>
          <w:color w:val="auto"/>
        </w:rPr>
      </w:pPr>
    </w:p>
    <w:p>
      <w:pPr>
        <w:ind w:left="1220" w:right="199" w:firstLine="353"/>
        <w:spacing w:after="0" w:line="252" w:lineRule="auto"/>
        <w:rPr>
          <w:sz w:val="20"/>
          <w:szCs w:val="20"/>
          <w:color w:val="auto"/>
        </w:rPr>
      </w:pPr>
      <w:r>
        <w:rPr>
          <w:rFonts w:ascii="Arial" w:cs="Arial" w:eastAsia="Arial" w:hAnsi="Arial"/>
          <w:sz w:val="14"/>
          <w:szCs w:val="14"/>
          <w:color w:val="auto"/>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or business disruption, any of which could have a material adverse effect on our business, financial condition, results of operations, and prospects.</w:t>
      </w:r>
    </w:p>
    <w:p>
      <w:pPr>
        <w:spacing w:after="0" w:line="139" w:lineRule="exact"/>
        <w:rPr>
          <w:sz w:val="20"/>
          <w:szCs w:val="20"/>
          <w:color w:val="auto"/>
        </w:rPr>
      </w:pPr>
    </w:p>
    <w:p>
      <w:pPr>
        <w:ind w:left="1220" w:right="139" w:firstLine="353"/>
        <w:spacing w:after="0" w:line="256" w:lineRule="auto"/>
        <w:rPr>
          <w:sz w:val="20"/>
          <w:szCs w:val="20"/>
          <w:color w:val="auto"/>
        </w:rPr>
      </w:pPr>
      <w:r>
        <w:rPr>
          <w:rFonts w:ascii="Arial" w:cs="Arial" w:eastAsia="Arial" w:hAnsi="Arial"/>
          <w:sz w:val="14"/>
          <w:szCs w:val="14"/>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w:t>
      </w:r>
    </w:p>
    <w:p>
      <w:pPr>
        <w:spacing w:after="0" w:line="224" w:lineRule="exact"/>
        <w:rPr>
          <w:sz w:val="20"/>
          <w:szCs w:val="20"/>
          <w:color w:val="auto"/>
        </w:rPr>
      </w:pPr>
    </w:p>
    <w:p>
      <w:pPr>
        <w:ind w:left="1220" w:right="899"/>
        <w:spacing w:after="0" w:line="294" w:lineRule="auto"/>
        <w:rPr>
          <w:sz w:val="20"/>
          <w:szCs w:val="20"/>
          <w:color w:val="auto"/>
        </w:rPr>
      </w:pPr>
      <w:r>
        <w:rPr>
          <w:rFonts w:ascii="Arial" w:cs="Arial" w:eastAsia="Arial" w:hAnsi="Arial"/>
          <w:sz w:val="14"/>
          <w:szCs w:val="14"/>
          <w:b w:val="1"/>
          <w:bCs w:val="1"/>
          <w:i w:val="1"/>
          <w:iCs w:val="1"/>
          <w:color w:val="auto"/>
        </w:rPr>
        <w:t>Our employees, consultants and business partners may engage in misconduct or other improper activities, including noncompliance with regulatory standards and requirements and insider trading.</w:t>
      </w:r>
    </w:p>
    <w:p>
      <w:pPr>
        <w:spacing w:after="0" w:line="15" w:lineRule="exact"/>
        <w:rPr>
          <w:sz w:val="20"/>
          <w:szCs w:val="20"/>
          <w:color w:val="auto"/>
        </w:rPr>
      </w:pPr>
    </w:p>
    <w:p>
      <w:pPr>
        <w:ind w:left="1220" w:right="119" w:firstLine="353"/>
        <w:spacing w:after="0" w:line="244" w:lineRule="auto"/>
        <w:rPr>
          <w:sz w:val="20"/>
          <w:szCs w:val="20"/>
          <w:color w:val="auto"/>
        </w:rPr>
      </w:pPr>
      <w:r>
        <w:rPr>
          <w:rFonts w:ascii="Arial" w:cs="Arial" w:eastAsia="Arial" w:hAnsi="Arial"/>
          <w:sz w:val="14"/>
          <w:szCs w:val="14"/>
          <w:color w:val="auto"/>
        </w:rPr>
        <w:t>We are exposed to the risk of fraud or other misconduct by our employees, consultants and business partners. Misconduct by these parties could include intentional failures to comply with FDA regulations, to provide accurate information to the FDA, to comply with manufacturing standards we have established, to comply with federal and state healthcare fraud and abuse laws and regulations, to comply with state and federal securities laws, to report financial information or data accurately or to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or interactions with the FDA or other regulatory authorities, which could result in regulatory sanctions and serious harm to our reputation.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 our business and our results of operations.</w:t>
      </w:r>
    </w:p>
    <w:p>
      <w:pPr>
        <w:spacing w:after="0" w:line="237" w:lineRule="exact"/>
        <w:rPr>
          <w:sz w:val="20"/>
          <w:szCs w:val="20"/>
          <w:color w:val="auto"/>
        </w:rPr>
      </w:pPr>
    </w:p>
    <w:p>
      <w:pPr>
        <w:ind w:left="1220" w:right="219"/>
        <w:spacing w:after="0" w:line="294" w:lineRule="auto"/>
        <w:rPr>
          <w:sz w:val="20"/>
          <w:szCs w:val="20"/>
          <w:color w:val="auto"/>
        </w:rPr>
      </w:pPr>
      <w:r>
        <w:rPr>
          <w:rFonts w:ascii="Arial" w:cs="Arial" w:eastAsia="Arial" w:hAnsi="Arial"/>
          <w:sz w:val="14"/>
          <w:szCs w:val="14"/>
          <w:b w:val="1"/>
          <w:bCs w:val="1"/>
          <w:i w:val="1"/>
          <w:iCs w:val="1"/>
          <w:color w:val="auto"/>
        </w:rPr>
        <w:t>Changes in and uncertainty surrounding U.S. and international trade policies, particularly with respect to China, may adversely impact our business and operating results.</w:t>
      </w:r>
    </w:p>
    <w:p>
      <w:pPr>
        <w:spacing w:after="0" w:line="15" w:lineRule="exact"/>
        <w:rPr>
          <w:sz w:val="20"/>
          <w:szCs w:val="20"/>
          <w:color w:val="auto"/>
        </w:rPr>
      </w:pPr>
    </w:p>
    <w:p>
      <w:pPr>
        <w:ind w:left="1220" w:right="279" w:firstLine="353"/>
        <w:spacing w:after="0" w:line="263" w:lineRule="auto"/>
        <w:rPr>
          <w:sz w:val="20"/>
          <w:szCs w:val="20"/>
          <w:color w:val="auto"/>
        </w:rPr>
      </w:pPr>
      <w:r>
        <w:rPr>
          <w:rFonts w:ascii="Arial" w:cs="Arial" w:eastAsia="Arial" w:hAnsi="Arial"/>
          <w:sz w:val="14"/>
          <w:szCs w:val="14"/>
          <w:color w:val="auto"/>
        </w:rPr>
        <w:t>In the spring of 2025, the U.S. government initiated a series of tariff-related actions against U.S. trading partners. On April 2, 2025, an Executive Order announced a “baseline” reciprocal tariff of 10% on all U.S. trading partners effective April 5, 2025, and higher individualized reciprocal tariffs on 57 countries (with certain product exemptions for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159"/>
          </w:cols>
          <w:pgMar w:left="300" w:top="415"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spacing w:after="0" w:line="248" w:lineRule="auto"/>
        <w:rPr>
          <w:sz w:val="20"/>
          <w:szCs w:val="20"/>
          <w:color w:val="auto"/>
        </w:rPr>
      </w:pPr>
      <w:r>
        <w:rPr>
          <w:rFonts w:ascii="Arial" w:cs="Arial" w:eastAsia="Arial" w:hAnsi="Arial"/>
          <w:sz w:val="14"/>
          <w:szCs w:val="14"/>
          <w:color w:val="auto"/>
        </w:rPr>
        <w:t>pharmaceutical-related products, among others). Previously, the U.S. government had imposed a 25% tariff on Canada and Mexico for goods not covered by the United States-Mexico-Canada Agreement,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U.S. delayed the effective date of such tariffs for all countries except China to August 1, 2025. Later, the United States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141" w:lineRule="exact"/>
        <w:rPr>
          <w:sz w:val="20"/>
          <w:szCs w:val="20"/>
          <w:color w:val="auto"/>
        </w:rPr>
      </w:pPr>
    </w:p>
    <w:p>
      <w:pPr>
        <w:ind w:left="1220" w:right="119" w:firstLine="353"/>
        <w:spacing w:after="0" w:line="248" w:lineRule="auto"/>
        <w:rPr>
          <w:sz w:val="20"/>
          <w:szCs w:val="20"/>
          <w:color w:val="auto"/>
        </w:rPr>
      </w:pPr>
      <w:r>
        <w:rPr>
          <w:rFonts w:ascii="Arial" w:cs="Arial" w:eastAsia="Arial" w:hAnsi="Arial"/>
          <w:sz w:val="14"/>
          <w:szCs w:val="14"/>
          <w:color w:val="auto"/>
        </w:rPr>
        <w:t>Since the April 2025 reciprocal tariffs announcement, the European Union, Japan, South Korea, Switzerland and the United Kingdom, among others, have reached deals with the United States that include reduced tariff rates to varying levels and other measures. On July 31, 2025, the Trump Administration issued an Executive Order detailing new reciprocal tariff rates for individual countries that took effect on August 7, 2025. The deals with the European Union, Japan, South Korea, Switzerland (and Liechtenstein), the United Kingdom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spacing w:after="0" w:line="141"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The reciprocal tariffs and the fentanyl tariffs were imposed pursuant to the International Emergency Economic Powers Act, or the IEEPA. These tariffs were found to be unconstitutional by multiple federal courts in the spring and summer of 2025. On February 20, 2026, the U.S. Supreme Court held that the IEEPA does not authorize the U.S. President to impose tariffs, invalidating both the reciprocal tariffs and the drug trafficking tariffs. Shortly thereafter, President Trump issued a new Executive Order revoking the IEEPA tariffs and Customs and Border Protection ceased collecting the tariffs on February 24, 2026. At the same time, however, the Trump Administration imposed a new 10% global tariff under Section 122 of the Trade Act of 1974, effective February 24, 2026. Pursuant to the statute, absent an extension by Congress, these tariffs will expire in 150 days on July 24, 2026. For those countries that have concluded trade deals with the United States, the tariff rates agreed to, including with regard to pharmaceuticals and pharmaceutical ingredients, have now reverted to 10% until July 24, 2026. 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143" w:lineRule="exact"/>
        <w:rPr>
          <w:sz w:val="20"/>
          <w:szCs w:val="20"/>
          <w:color w:val="auto"/>
        </w:rPr>
      </w:pPr>
    </w:p>
    <w:p>
      <w:pPr>
        <w:ind w:left="1220" w:right="139" w:firstLine="353"/>
        <w:spacing w:after="0" w:line="251" w:lineRule="auto"/>
        <w:rPr>
          <w:sz w:val="20"/>
          <w:szCs w:val="20"/>
          <w:color w:val="auto"/>
        </w:rPr>
      </w:pPr>
      <w:r>
        <w:rPr>
          <w:rFonts w:ascii="Arial" w:cs="Arial" w:eastAsia="Arial" w:hAnsi="Arial"/>
          <w:sz w:val="14"/>
          <w:szCs w:val="14"/>
          <w:color w:val="auto"/>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 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305"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Separately, in April 2025, the Department of Commerce announced an investigation under Section 232 of the Trade Expansion Act of 1962, or Section 232, into imports of pharmaceuticals and pharmaceutical ingredients, including finished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United States would face a 100% tariff. At the same time, President Trump indicated that these tariffs could be avoided by building pharmaceutical manufacturing facilities in the United States. Thereafter, President Trump delayed the October 1, 2025 effective date of the tariffs on branded or patented pharmaceutical products announcing that the Trump Administration had now “begun preparing” tariffs on manufacturers that do not build in the United States or enter into a most-favored-nation drug pricing agreement with the Trump Administration. A host of other U.S. tariff actions remain possible, including additional 25% tariffs on products from countries that do certain business with Iran or Cuba.</w:t>
      </w:r>
    </w:p>
    <w:p>
      <w:pPr>
        <w:spacing w:after="0" w:line="146" w:lineRule="exact"/>
        <w:rPr>
          <w:sz w:val="20"/>
          <w:szCs w:val="20"/>
          <w:color w:val="auto"/>
        </w:rPr>
      </w:pPr>
    </w:p>
    <w:p>
      <w:pPr>
        <w:ind w:left="1220" w:right="239" w:firstLine="353"/>
        <w:spacing w:after="0" w:line="250" w:lineRule="auto"/>
        <w:rPr>
          <w:sz w:val="20"/>
          <w:szCs w:val="20"/>
          <w:color w:val="auto"/>
        </w:rPr>
      </w:pPr>
      <w:r>
        <w:rPr>
          <w:rFonts w:ascii="Arial" w:cs="Arial" w:eastAsia="Arial" w:hAnsi="Arial"/>
          <w:sz w:val="14"/>
          <w:szCs w:val="14"/>
          <w:color w:val="auto"/>
        </w:rPr>
        <w:t>On April 2, 2026, President Trump issued a proclamation invoking Section 232 to impose tariffs on imports of certain patented pharmaceuticals, biologics, and associated ingredients into the United States, or the Proclamation. The Proclamation affects pharmaceutical manufacturers, importers, and supply chain participants. Specifically, beginning September 29, 2026, tariffs ranging from 10% to 100% will apply to pharmaceutical articles that are subject to a valid, unexpired U.S. patent and are listed either in the Orange Book or are listed in the FDA’s Lists of Licensed Biological Products, or the Purple Book. These tariffs apply to active pharmaceutical ingredients and key starting materials for such</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159"/>
          </w:cols>
          <w:pgMar w:left="300" w:top="415"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79"/>
        <w:spacing w:after="0" w:line="248" w:lineRule="auto"/>
        <w:rPr>
          <w:sz w:val="20"/>
          <w:szCs w:val="20"/>
          <w:color w:val="auto"/>
        </w:rPr>
      </w:pPr>
      <w:r>
        <w:rPr>
          <w:rFonts w:ascii="Arial" w:cs="Arial" w:eastAsia="Arial" w:hAnsi="Arial"/>
          <w:sz w:val="14"/>
          <w:szCs w:val="14"/>
          <w:color w:val="auto"/>
        </w:rPr>
        <w:t>articles. Certain categories of products are exempt from these tariffs, including generic pharmaceuticals and biosimilars; U.S.-origin pharmaceutical products, active pharmaceutical ingredients and key starting materials; products classified in certain 10-digit tariff codes, listed in Annex IV of the Proclamation; drugs and associated ingredients for all approved indications that are designated as orphan pursuant to the Orphan Drug Act; drugs for certain specific uses, including nuclear medicines; plasma-derived therapies; fertility treatments; cell and gene therapies; antibody drug conjugates; medical countermeasures related to chemical, biological, radiological, and nuclear threats; animal health; and other specialty pharmaceutical products to be later identified by the Secretary of Commerce; and goods that qualify as “prototypes to be used exclusively for development, testing, product evaluation, or quality control purposes,” may be excluded from the additional tariffs.</w:t>
      </w:r>
    </w:p>
    <w:p>
      <w:pPr>
        <w:spacing w:after="0" w:line="141" w:lineRule="exact"/>
        <w:rPr>
          <w:sz w:val="20"/>
          <w:szCs w:val="20"/>
          <w:color w:val="auto"/>
        </w:rPr>
      </w:pPr>
    </w:p>
    <w:p>
      <w:pPr>
        <w:ind w:left="1220" w:right="139" w:firstLine="353"/>
        <w:spacing w:after="0" w:line="247" w:lineRule="auto"/>
        <w:rPr>
          <w:sz w:val="20"/>
          <w:szCs w:val="20"/>
          <w:color w:val="auto"/>
        </w:rPr>
      </w:pPr>
      <w:r>
        <w:rPr>
          <w:rFonts w:ascii="Arial" w:cs="Arial" w:eastAsia="Arial" w:hAnsi="Arial"/>
          <w:sz w:val="14"/>
          <w:szCs w:val="14"/>
          <w:color w:val="auto"/>
        </w:rPr>
        <w:t>As a result of changes in tariffs that have been announced and/or implemented, and the underlying uncertainty currently surrounding international trade, we could experience a negative impact to our costs of materials and production processes, and supply chain disruptions and delays as a result of any new tariff policies or trade restrictions. If we are unable to obtain necessary raw materials or product components in sufficient quantity and in a timely manner due to disruptions in the global supply chain caused by macroeconomic events and conditions, the development, testing and clinical trials of our product candidates may be delayed or infeasible, and regulatory approval or commercial launch of any resulting product may be delayed or not obtained, which could significantly harm our business.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143" w:lineRule="exact"/>
        <w:rPr>
          <w:sz w:val="20"/>
          <w:szCs w:val="20"/>
          <w:color w:val="auto"/>
        </w:rPr>
      </w:pPr>
    </w:p>
    <w:p>
      <w:pPr>
        <w:ind w:left="1220" w:right="179" w:firstLine="353"/>
        <w:spacing w:after="0" w:line="248" w:lineRule="auto"/>
        <w:rPr>
          <w:sz w:val="20"/>
          <w:szCs w:val="20"/>
          <w:color w:val="auto"/>
        </w:rPr>
      </w:pPr>
      <w:r>
        <w:rPr>
          <w:rFonts w:ascii="Arial" w:cs="Arial" w:eastAsia="Arial" w:hAnsi="Arial"/>
          <w:sz w:val="14"/>
          <w:szCs w:val="14"/>
          <w:color w:val="auto"/>
        </w:rPr>
        <w:t>Further, some of our manufacturers and suppliers are located in China. Trade tensions and conflicts between the United States and China have been escalated in recent years and, as such, we are exposed to the possibility of product supply disruption and increased costs and expenses in the event of changes to the laws, rules, regulations and policies of the governments of the United States or China, or due to geopolitical unrest and unstable economic conditions. Certain Chinese biotechnology companies may become subject to trade restrictions, sanctions, other regulatory requirements or proposed legislation by the U.S. government, which could restrict or even prohibit our ability to work with such entities, thereby potentially disrupting their supply of material to us. For example, in February 2024, U.S. lawmakers called for investigations into and the imposition of possible economic sanctions against Chinese biotechnology companies WuXi AppTec and WuXi Biologics, or collectively WuXi, over alleged ties to the Chinese military.</w:t>
      </w:r>
    </w:p>
    <w:p>
      <w:pPr>
        <w:spacing w:after="0" w:line="141"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Subsequently, in December 2025, as part of the Fiscal Year 2026 National Defense Authorization Act, President Trump signed into law the BIOSECURE Act. Under the BIOSECURE Act, U.S. government agencies cannot (1) buy or obtain biotechnology equipment or services provided by biotechnology companies of concern, or BCCs, (2) enter into, extend, or renew a contract with any entity using biotechnology equipment or services provided by a BCC to perform a government contract, or (3) expend, loan or grant funds for biotechnology equipment or services provided by a BCC, whether directly or through a loan or grant recipient. The BIOSECURE Act does not name specific companies as BCCs but treats any company on the Department of Defense 1260H list of “Chinese military companies” as a BCC. On December 18, 2025, the Chairs of multiple Senate and House committees, including the House Select Committee on China, sent a letter to the Department of Defense recommending that WuXi be added to the 1260H list, which would make it a BCC. The 1260H list was updated by the Department of Defense in January 2024 and January 2025. On February 13, 2026, the Department published an updated list, which included WuXi, but then abruptly withdrew the list. The implications of this action remain unclear.</w:t>
      </w: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Employee Matters and Managing Growth</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86"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We are highly dependent on the research and development, clinical, regulatory, and business development expertise of Benny Sørensen, M.D., Ph.D., our president and chief executive officer,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This lack of insurance means that we may not have adequate compensation for the loss of the services of these individuals. Recruiting and retaining qualified scientific, clinical, manufacturing, accounting, legal and sales and marketing personnel will also be critical to our success.</w:t>
      </w:r>
    </w:p>
    <w:p>
      <w:pPr>
        <w:spacing w:after="0" w:line="141" w:lineRule="exact"/>
        <w:rPr>
          <w:sz w:val="20"/>
          <w:szCs w:val="20"/>
          <w:color w:val="auto"/>
        </w:rPr>
      </w:pPr>
    </w:p>
    <w:p>
      <w:pPr>
        <w:ind w:left="1220" w:right="399" w:firstLine="353"/>
        <w:spacing w:after="0" w:line="256" w:lineRule="auto"/>
        <w:rPr>
          <w:sz w:val="20"/>
          <w:szCs w:val="20"/>
          <w:color w:val="auto"/>
        </w:rPr>
      </w:pPr>
      <w:r>
        <w:rPr>
          <w:rFonts w:ascii="Arial" w:cs="Arial" w:eastAsia="Arial" w:hAnsi="Arial"/>
          <w:sz w:val="14"/>
          <w:szCs w:val="14"/>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0159"/>
          </w:cols>
          <w:pgMar w:left="300" w:top="415"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79"/>
        <w:spacing w:after="0" w:line="256" w:lineRule="auto"/>
        <w:rPr>
          <w:sz w:val="20"/>
          <w:szCs w:val="20"/>
          <w:color w:val="auto"/>
        </w:rPr>
      </w:pPr>
      <w:r>
        <w:rPr>
          <w:rFonts w:ascii="Arial" w:cs="Arial" w:eastAsia="Arial" w:hAnsi="Arial"/>
          <w:sz w:val="14"/>
          <w:szCs w:val="14"/>
          <w:color w:val="auto"/>
        </w:rPr>
        <w:t>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35"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28" w:lineRule="exact"/>
        <w:rPr>
          <w:sz w:val="20"/>
          <w:szCs w:val="20"/>
          <w:color w:val="auto"/>
        </w:rPr>
      </w:pPr>
    </w:p>
    <w:p>
      <w:pPr>
        <w:ind w:left="1220" w:right="319"/>
        <w:spacing w:after="0" w:line="294" w:lineRule="auto"/>
        <w:rPr>
          <w:sz w:val="20"/>
          <w:szCs w:val="20"/>
          <w:color w:val="auto"/>
        </w:rPr>
      </w:pPr>
      <w:r>
        <w:rPr>
          <w:rFonts w:ascii="Arial" w:cs="Arial" w:eastAsia="Arial" w:hAnsi="Arial"/>
          <w:sz w:val="14"/>
          <w:szCs w:val="14"/>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 w:lineRule="exact"/>
        <w:rPr>
          <w:sz w:val="20"/>
          <w:szCs w:val="20"/>
          <w:color w:val="auto"/>
        </w:rPr>
      </w:pPr>
    </w:p>
    <w:p>
      <w:pPr>
        <w:ind w:left="1220" w:right="139" w:firstLine="353"/>
        <w:spacing w:after="0" w:line="248" w:lineRule="auto"/>
        <w:rPr>
          <w:sz w:val="20"/>
          <w:szCs w:val="20"/>
          <w:color w:val="auto"/>
        </w:rPr>
      </w:pPr>
      <w:r>
        <w:rPr>
          <w:rFonts w:ascii="Arial" w:cs="Arial" w:eastAsia="Arial" w:hAnsi="Arial"/>
          <w:sz w:val="14"/>
          <w:szCs w:val="14"/>
          <w:color w:val="auto"/>
        </w:rPr>
        <w:t>We expect to experience significant growth in the number of our employees and the scope of our operations, particularly in the areas of drug development, clinical, regulatory affairs, manufacturing and quality control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Future acquisitions or strategic alliances could disrupt our business and harm our financial condition and results of operations.</w:t>
      </w:r>
    </w:p>
    <w:p>
      <w:pPr>
        <w:spacing w:after="0" w:line="86" w:lineRule="exact"/>
        <w:rPr>
          <w:sz w:val="20"/>
          <w:szCs w:val="20"/>
          <w:color w:val="auto"/>
        </w:rPr>
      </w:pPr>
    </w:p>
    <w:p>
      <w:pPr>
        <w:ind w:left="1220" w:right="119" w:firstLine="353"/>
        <w:spacing w:after="0" w:line="247" w:lineRule="auto"/>
        <w:rPr>
          <w:sz w:val="20"/>
          <w:szCs w:val="20"/>
          <w:color w:val="auto"/>
        </w:rPr>
      </w:pPr>
      <w:r>
        <w:rPr>
          <w:rFonts w:ascii="Arial" w:cs="Arial" w:eastAsia="Arial" w:hAnsi="Arial"/>
          <w:sz w:val="14"/>
          <w:szCs w:val="14"/>
          <w:color w:val="auto"/>
        </w:rPr>
        <w:t>We may acquire additional businesses, technologies or assets, form strategic alliances or create joint ventures with third parties that we believe will complement or augment our existing business. If we acquire businesses with promising markets or technologies, those markets or technologies may not achieve the outcomes that we expect. Acquiring new product candidates is inherently risky, and there can be no assurance that any acquired product candidates would prove to be successful. In addition,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may delay or prevent us from realizing their expected benefits or enhancing our business. We cannot assure our stockholders that, following any such acquisition, we will achieve the expected synergies to justify the transaction. The risks we face in connection with acquisitions include:</w:t>
      </w:r>
    </w:p>
    <w:p>
      <w:pPr>
        <w:spacing w:after="0" w:line="67" w:lineRule="exact"/>
        <w:rPr>
          <w:sz w:val="20"/>
          <w:szCs w:val="20"/>
          <w:color w:val="auto"/>
        </w:rPr>
      </w:pPr>
    </w:p>
    <w:p>
      <w:pPr>
        <w:ind w:left="2000" w:hanging="338"/>
        <w:spacing w:after="0"/>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coordination of research and development efforts;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98" w:lineRule="exact"/>
        <w:rPr>
          <w:rFonts w:ascii="Arial" w:cs="Arial" w:eastAsia="Arial" w:hAnsi="Arial"/>
          <w:sz w:val="14"/>
          <w:szCs w:val="14"/>
          <w:color w:val="auto"/>
        </w:rPr>
      </w:pPr>
    </w:p>
    <w:p>
      <w:pPr>
        <w:ind w:left="2000" w:right="619" w:hanging="338"/>
        <w:spacing w:after="0" w:line="285" w:lineRule="auto"/>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changes in relationships with collaborators as a result of product acquisitions or strategic positioning resulting from the acquisition;</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98"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need to implement or improve controls, procedures and policies at a business that prior to the acquisition may have lacked sufficiently effective controls, procedures and policies;</w:t>
      </w:r>
    </w:p>
    <w:p>
      <w:pPr>
        <w:spacing w:after="0" w:line="39" w:lineRule="exact"/>
        <w:rPr>
          <w:rFonts w:ascii="Arial" w:cs="Arial" w:eastAsia="Arial" w:hAnsi="Arial"/>
          <w:sz w:val="14"/>
          <w:szCs w:val="14"/>
          <w:color w:val="auto"/>
        </w:rPr>
      </w:pPr>
    </w:p>
    <w:p>
      <w:pPr>
        <w:jc w:val="both"/>
        <w:ind w:left="2000" w:right="619" w:hanging="338"/>
        <w:spacing w:after="0" w:line="285" w:lineRule="auto"/>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 of laws, commercial disputes, tax liabilities and other known liabilities unanticipated write-offs or charges; and</w:t>
      </w:r>
    </w:p>
    <w:p>
      <w:pPr>
        <w:spacing w:after="0" w:line="39" w:lineRule="exact"/>
        <w:rPr>
          <w:rFonts w:ascii="Arial" w:cs="Arial" w:eastAsia="Arial" w:hAnsi="Arial"/>
          <w:sz w:val="14"/>
          <w:szCs w:val="14"/>
          <w:color w:val="auto"/>
        </w:rPr>
      </w:pPr>
    </w:p>
    <w:p>
      <w:pPr>
        <w:ind w:left="2000" w:right="339" w:hanging="338"/>
        <w:spacing w:after="0" w:line="285" w:lineRule="auto"/>
        <w:tabs>
          <w:tab w:leader="none" w:pos="20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terminated employees, customers, former stockholders or other third parties.</w:t>
      </w:r>
    </w:p>
    <w:p>
      <w:pPr>
        <w:spacing w:after="0" w:line="6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159"/>
          </w:cols>
          <w:pgMar w:left="300" w:top="415"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219"/>
        <w:spacing w:after="0" w:line="253" w:lineRule="auto"/>
        <w:rPr>
          <w:sz w:val="20"/>
          <w:szCs w:val="20"/>
          <w:color w:val="auto"/>
        </w:rPr>
      </w:pPr>
      <w:r>
        <w:rPr>
          <w:rFonts w:ascii="Arial" w:cs="Arial" w:eastAsia="Arial" w:hAnsi="Arial"/>
          <w:sz w:val="14"/>
          <w:szCs w:val="14"/>
          <w:b w:val="1"/>
          <w:bCs w:val="1"/>
          <w:i w:val="1"/>
          <w:iCs w:val="1"/>
          <w:color w:val="auto"/>
        </w:rPr>
        <w:t>The internal information technology systems, or those of any future collaborators of ours, vendors or other contractors or consultants, on which we depend have in the past and may in the future fail or suffer cybersecurity incidents, data breaches, loss of data and other disruptions, which could result in a material disruption of our product development programs, compromise sensitive information related to our business or prevent us from accessing critical information, trigger contractual and legal obligations, potentially exposing us to liability, reputational harm or otherwise adversely affect our business and financial results.</w:t>
      </w:r>
    </w:p>
    <w:p>
      <w:pPr>
        <w:spacing w:after="0" w:line="210" w:lineRule="exact"/>
        <w:rPr>
          <w:sz w:val="20"/>
          <w:szCs w:val="20"/>
          <w:color w:val="auto"/>
        </w:rPr>
      </w:pPr>
    </w:p>
    <w:p>
      <w:pPr>
        <w:ind w:left="1220" w:right="259" w:firstLine="353"/>
        <w:spacing w:after="0" w:line="263" w:lineRule="auto"/>
        <w:rPr>
          <w:sz w:val="20"/>
          <w:szCs w:val="20"/>
          <w:color w:val="auto"/>
        </w:rPr>
      </w:pPr>
      <w:r>
        <w:rPr>
          <w:rFonts w:ascii="Arial" w:cs="Arial" w:eastAsia="Arial" w:hAnsi="Arial"/>
          <w:sz w:val="14"/>
          <w:szCs w:val="14"/>
          <w:color w:val="auto"/>
        </w:rPr>
        <w:t>We are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w:t>
      </w:r>
    </w:p>
    <w:p>
      <w:pPr>
        <w:spacing w:after="0" w:line="131"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Despite the implementation of security measures, our internal information technology systems and those of any collaborators, vendors, contractors or consultants are vulnerable to breakdowns, damage or interruption from computer viruses, computer hackers, malicious code, ransomware, malware, malicious conduct or error by employees or other users, theft or misuse, denial-of-service attacks, sophisticated nation-state and nation-state-supported actors, unauthorized access, natural disasters, terrorism, wars or other armed conflict, telecommunication and electrical failures or other compromise. There could also be an increase in cybersecurity attacks generally as a result of ongoing military conflicts and the resulting sanctions imposed by the United States and European governments, together with any additional future sanctions or other actions by them.</w:t>
      </w:r>
    </w:p>
    <w:p>
      <w:pPr>
        <w:spacing w:after="0" w:line="140" w:lineRule="exact"/>
        <w:rPr>
          <w:sz w:val="20"/>
          <w:szCs w:val="20"/>
          <w:color w:val="auto"/>
        </w:rPr>
      </w:pPr>
    </w:p>
    <w:p>
      <w:pPr>
        <w:ind w:left="1220" w:right="199" w:firstLine="353"/>
        <w:spacing w:after="0" w:line="247" w:lineRule="auto"/>
        <w:rPr>
          <w:sz w:val="20"/>
          <w:szCs w:val="20"/>
          <w:color w:val="auto"/>
        </w:rPr>
      </w:pPr>
      <w:r>
        <w:rPr>
          <w:rFonts w:ascii="Arial" w:cs="Arial" w:eastAsia="Arial" w:hAnsi="Arial"/>
          <w:sz w:val="14"/>
          <w:szCs w:val="14"/>
          <w:color w:val="auto"/>
        </w:rPr>
        <w:t>Cyberattacks are increasing in their frequency, sophistication and intensity, and have become increasingly difficult to detect. Cyberattacks could include the deployment of harmful malware, ransomware, business email compromises, denial-of-service attacks, unauthorized access to or deletion of files, social engineering (including phishing attacks) and other means to affect service reliability and threaten the confidentiality, integrity and availability of information. Cyberattacks also could include phishing attempts or e-mail fraud to cause payments or information to be transmitted to an unintended recipient. These attacks and activity are also being facilitated or enhanced by evolving technologies, including artificial intelligence.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143" w:lineRule="exact"/>
        <w:rPr>
          <w:sz w:val="20"/>
          <w:szCs w:val="20"/>
          <w:color w:val="auto"/>
        </w:rPr>
      </w:pPr>
    </w:p>
    <w:p>
      <w:pPr>
        <w:jc w:val="both"/>
        <w:ind w:left="1220" w:right="159" w:firstLine="353"/>
        <w:spacing w:after="0" w:line="252" w:lineRule="auto"/>
        <w:rPr>
          <w:sz w:val="20"/>
          <w:szCs w:val="20"/>
          <w:color w:val="auto"/>
        </w:rPr>
      </w:pPr>
      <w:r>
        <w:rPr>
          <w:rFonts w:ascii="Arial" w:cs="Arial" w:eastAsia="Arial" w:hAnsi="Arial"/>
          <w:sz w:val="14"/>
          <w:szCs w:val="14"/>
          <w:color w:val="auto"/>
        </w:rPr>
        <w:t>Like other companies in our industry, we, and our third-party vendors, have experienced threats and cybersecurity incidents relating to our information systems and infrastructure. We cannot guarantee that the measures we have taken to date, and actions we may take in the future, will be sufficient to prevent any future system failures, cyberattacks, accidents or cybersecurity incidents or data breaches with respect to our information technology systems, or the information technology systems of our vendors, collaborators or other contractors or consultants.</w:t>
      </w:r>
    </w:p>
    <w:p>
      <w:pPr>
        <w:spacing w:after="0" w:line="139" w:lineRule="exact"/>
        <w:rPr>
          <w:sz w:val="20"/>
          <w:szCs w:val="20"/>
          <w:color w:val="auto"/>
        </w:rPr>
      </w:pPr>
    </w:p>
    <w:p>
      <w:pPr>
        <w:ind w:left="1220" w:right="219" w:firstLine="353"/>
        <w:spacing w:after="0" w:line="248" w:lineRule="auto"/>
        <w:rPr>
          <w:sz w:val="20"/>
          <w:szCs w:val="20"/>
          <w:color w:val="auto"/>
        </w:rPr>
      </w:pPr>
      <w:r>
        <w:rPr>
          <w:rFonts w:ascii="Arial" w:cs="Arial" w:eastAsia="Arial" w:hAnsi="Arial"/>
          <w:sz w:val="14"/>
          <w:szCs w:val="14"/>
          <w:color w:val="auto"/>
        </w:rPr>
        <w:t>To the extent we or our vendors, collaborators or other contractors or consultants experience a material system failure, accident, cyberattack or security breach, it could result in a material disruption of our development programs and our business operations, whether due to a loss of our trade secrets or other proprietary or confidential information or other disruptions. For example, the loss of clinical trial data from our ongoing or planned clinical trials could result in delays in our marketing approval efforts and significantly increase our costs to recover or reproduce the data. If we do not allocate and effectively manage the resources necessary to build and sustain the proper technology and cybersecurity infrastructure, we could suffer significant business disruption (and may suffer such disruption notwithstanding the building and sustaining of such infrastructure), including transaction errors, supply chain or manufacturing interruptions, processing inefficiencies, data loss or the loss of or damage to intellectual property or other proprietary information.</w:t>
      </w:r>
    </w:p>
    <w:p>
      <w:pPr>
        <w:spacing w:after="0" w:line="141" w:lineRule="exact"/>
        <w:rPr>
          <w:sz w:val="20"/>
          <w:szCs w:val="20"/>
          <w:color w:val="auto"/>
        </w:rPr>
      </w:pPr>
    </w:p>
    <w:p>
      <w:pPr>
        <w:ind w:left="1220" w:right="199" w:firstLine="353"/>
        <w:spacing w:after="0" w:line="249" w:lineRule="auto"/>
        <w:rPr>
          <w:sz w:val="20"/>
          <w:szCs w:val="20"/>
          <w:color w:val="auto"/>
        </w:rPr>
      </w:pPr>
      <w:r>
        <w:rPr>
          <w:rFonts w:ascii="Arial" w:cs="Arial" w:eastAsia="Arial" w:hAnsi="Arial"/>
          <w:sz w:val="14"/>
          <w:szCs w:val="14"/>
          <w:color w:val="auto"/>
        </w:rPr>
        <w:t>To the extent that any disruption, cybersecurity incident or data breach were to result in a loss of, or damage to, our or our vendors’, collaborators’ or other contractors’ or consultants’ data or applications, or inappropriate disclosure of confidential or proprietary information, we could incur liability, including litigation exposure, penalties and fines, we could become the subject of regulatory action or investigation, our competitive position and reputation could be harmed and the further development and commercialization of our product candidates could be delayed. As a result of such an event, we may also be in breach of our contractual obligations. Due to applicable laws, rules, regulations and standards or contractual obligations, we may be held responsible for any system failure or security incident attributed to our third-party vendors as they relate to the information we share with them.</w:t>
      </w:r>
    </w:p>
    <w:p>
      <w:pPr>
        <w:spacing w:after="0" w:line="140" w:lineRule="exact"/>
        <w:rPr>
          <w:sz w:val="20"/>
          <w:szCs w:val="20"/>
          <w:color w:val="auto"/>
        </w:rPr>
      </w:pPr>
    </w:p>
    <w:p>
      <w:pPr>
        <w:ind w:left="1220" w:right="99" w:firstLine="353"/>
        <w:spacing w:after="0" w:line="250" w:lineRule="auto"/>
        <w:rPr>
          <w:sz w:val="20"/>
          <w:szCs w:val="20"/>
          <w:color w:val="auto"/>
        </w:rPr>
      </w:pPr>
      <w:r>
        <w:rPr>
          <w:rFonts w:ascii="Arial" w:cs="Arial" w:eastAsia="Arial" w:hAnsi="Arial"/>
          <w:sz w:val="14"/>
          <w:szCs w:val="14"/>
          <w:color w:val="auto"/>
        </w:rPr>
        <w:t>Furthermore, any such event that leads to unauthorized access, use, or disclosure of personal information, including personal information regarding our customers or employees, could harm our reputation,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Any of the above could have a material adverse effect on our business, financial condition, results of operations or prospects.</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159"/>
          </w:cols>
          <w:pgMar w:left="300" w:top="415"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52" w:lineRule="auto"/>
        <w:rPr>
          <w:sz w:val="20"/>
          <w:szCs w:val="20"/>
          <w:color w:val="auto"/>
        </w:rPr>
      </w:pPr>
      <w:r>
        <w:rPr>
          <w:rFonts w:ascii="Arial" w:cs="Arial" w:eastAsia="Arial" w:hAnsi="Arial"/>
          <w:sz w:val="14"/>
          <w:szCs w:val="14"/>
          <w:color w:val="auto"/>
        </w:rPr>
        <w:t>The financial exposure from the events referenced above could either not be insured against or not be fully covered through any insurance that we maintain and could have a material adverse effect on our business, financial condition, results of operations or prospects. In addition, we cannot be sure that our existing insurance coverage will continue to be available on acceptable terms or that our insurers will not deny coverage as to any future claim. There can be no assurance that the limitations of liability in our contracts would be enforceable or adequate or would otherwise protect us from liabilities or damages as a result of the events referenced above.</w:t>
      </w:r>
    </w:p>
    <w:p>
      <w:pPr>
        <w:spacing w:after="0" w:line="228" w:lineRule="exact"/>
        <w:rPr>
          <w:sz w:val="20"/>
          <w:szCs w:val="20"/>
          <w:color w:val="auto"/>
        </w:rPr>
      </w:pPr>
    </w:p>
    <w:p>
      <w:pPr>
        <w:ind w:left="1220" w:right="219"/>
        <w:spacing w:after="0" w:line="252" w:lineRule="auto"/>
        <w:rPr>
          <w:sz w:val="20"/>
          <w:szCs w:val="20"/>
          <w:color w:val="auto"/>
        </w:rPr>
      </w:pPr>
      <w:r>
        <w:rPr>
          <w:rFonts w:ascii="Arial" w:cs="Arial" w:eastAsia="Arial" w:hAnsi="Arial"/>
          <w:sz w:val="14"/>
          <w:szCs w:val="14"/>
          <w:b w:val="1"/>
          <w:bCs w:val="1"/>
          <w:i w:val="1"/>
          <w:iCs w:val="1"/>
          <w:color w:val="auto"/>
        </w:rPr>
        <w:t>While we do not currently use artificial intelligence, or AI, in a manner that is central to our operations, we may decide to do so, which may cause us to expend material resources in the future. Our current use of AI is limited, but we are still exposed to the inherent risks of the use of AI. The risks and challenges associated with the use of AI, whether in the more limited manner that we currently do so or the manner that we may do so in the future, include security and other risks to our confidential information, proprietary information and personal information, any of which may result in reputational harm and liability, “hallucinations” or other errors, and biases, among other potential adverse effects to our business.</w:t>
      </w:r>
    </w:p>
    <w:p>
      <w:pPr>
        <w:spacing w:after="0" w:line="44" w:lineRule="exact"/>
        <w:rPr>
          <w:sz w:val="20"/>
          <w:szCs w:val="20"/>
          <w:color w:val="auto"/>
        </w:rPr>
      </w:pPr>
    </w:p>
    <w:p>
      <w:pPr>
        <w:ind w:left="1220" w:right="139" w:firstLine="353"/>
        <w:spacing w:after="0" w:line="246" w:lineRule="auto"/>
        <w:rPr>
          <w:sz w:val="20"/>
          <w:szCs w:val="20"/>
          <w:color w:val="auto"/>
        </w:rPr>
      </w:pPr>
      <w:r>
        <w:rPr>
          <w:rFonts w:ascii="Arial" w:cs="Arial" w:eastAsia="Arial" w:hAnsi="Arial"/>
          <w:sz w:val="14"/>
          <w:szCs w:val="14"/>
          <w:color w:val="auto"/>
        </w:rPr>
        <w:t>We may use and integrate AI into our business processes both in our own development and implementation of AI and through the adoption of commercially available tools. 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 Engaging appropriate resources (including computing power) to properly develop such technologies may require substantial expense and it may require substantial time to develop a properly functioning AI system, including because expertise in the use of AI for drug discovery or other life sciences applications is rare, and we may be unable to successfully integrate AI tools into our business or to do so efficiently. We may also need to license data from third-party sources or develop data internally, each of which may take substantial time and require substantial expense. If we enable or offer solutions that draw controversy due to perceived or actual negative societal impact, we may experience brand or reputational harm, competitive harm or legal liability.</w:t>
      </w:r>
    </w:p>
    <w:p>
      <w:pPr>
        <w:spacing w:after="0" w:line="146" w:lineRule="exact"/>
        <w:rPr>
          <w:sz w:val="20"/>
          <w:szCs w:val="20"/>
          <w:color w:val="auto"/>
        </w:rPr>
      </w:pPr>
    </w:p>
    <w:p>
      <w:pPr>
        <w:ind w:left="1220" w:right="139" w:firstLine="353"/>
        <w:spacing w:after="0" w:line="250" w:lineRule="auto"/>
        <w:rPr>
          <w:sz w:val="20"/>
          <w:szCs w:val="20"/>
          <w:color w:val="auto"/>
        </w:rPr>
      </w:pPr>
      <w:r>
        <w:rPr>
          <w:rFonts w:ascii="Arial" w:cs="Arial" w:eastAsia="Arial" w:hAnsi="Arial"/>
          <w:sz w:val="14"/>
          <w:szCs w:val="14"/>
          <w:color w:val="auto"/>
        </w:rPr>
        <w:t>Whether with our current, limited use of AI or a future, more fundamental use of AI, we are exposed to the risk related to the use and integration of AI. Use of this technology could pose cybersecurity, data privacy, IT, intellectual property, regulatory, legal, operational, competitive, reputational and other risks and challenges that could affect our business. Specifically, risks related to accuracy, bias, AI hallucinations, discrimination, harmful content, misinformation, fraud, scams, targeted attacks (including model poisoning or data poisoning), surveillance, data leakage, inequality, environmental harms, and other harms may flow from our development, use, or deployment of AI technologies.</w:t>
      </w:r>
    </w:p>
    <w:p>
      <w:pPr>
        <w:spacing w:after="0" w:line="141" w:lineRule="exact"/>
        <w:rPr>
          <w:sz w:val="20"/>
          <w:szCs w:val="20"/>
          <w:color w:val="auto"/>
        </w:rPr>
      </w:pPr>
    </w:p>
    <w:p>
      <w:pPr>
        <w:ind w:left="1220" w:right="159" w:firstLine="353"/>
        <w:spacing w:after="0" w:line="246" w:lineRule="auto"/>
        <w:rPr>
          <w:sz w:val="20"/>
          <w:szCs w:val="20"/>
          <w:color w:val="auto"/>
        </w:rPr>
      </w:pPr>
      <w:r>
        <w:rPr>
          <w:rFonts w:ascii="Arial" w:cs="Arial" w:eastAsia="Arial" w:hAnsi="Arial"/>
          <w:sz w:val="14"/>
          <w:szCs w:val="14"/>
          <w:color w:val="auto"/>
        </w:rPr>
        <w:t>No assurance can be provided that the use of AI will enhance our business or assist our business in becoming more efficient or profitable. The use of AI can give rise to intellectual property risks, including compromises to our proprietary intellectual property and risks of infringement or misappropriation of third party intellectual property, each of which may result in time-consuming and costly litigation and could require us to purchase a costly license or cease use of any material created using AI (and any intellectual property derived from such material). In addition, there is currently significant uncertainty around the extent to which we would be able to claim ownership in, or otherwise protect using intellectual property or similar proprietary rights, any inventions or other materials, which we develop through the use of AI. As a result, we could have no remedy if third parties reused those same materials, or similar materials also generated by AI. In addition, the use of AI by any of our personnel or our third-party providers could include the input of proprietary or confidential information (including material non-public information) into any AI systems, resulting in such proprietary or confidential information becoming part of a dataset that is accessible by other third-party AI users. Not all providers of AI tools may offer an option to opt-out of usage of such inputs or prompts to further train the tools, and, even where we do opt-out, we cannot guarantee that the opt-out will be fully effective.</w:t>
      </w:r>
    </w:p>
    <w:p>
      <w:pPr>
        <w:spacing w:after="0" w:line="143"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AI is generally highly reliant on the collection and analysis of large amounts of data. The data we may use to train AI models may be inaccurate, such as if we do not generate the data in an accurate manner, we license third-party data that is inaccurate, or we use a third-party AI system trained on data that is inaccurate. As a result of this potential inaccuracy, we may have analyses, recommendations or other outputs that are deficient, inaccurate, incomplete, overbroad, or biased, which may in turn adversely affect our business, financial condition and results of operations. Another data-related risk of the use of AI, even if the underlying data is accurate, is that AI may be subject to data herding and interconnectedness (i.e., multiple market participants utilizing the same data to generate the same or similar results), and if those results are important to our business, that may adversely impact our financial or operational condition.</w:t>
      </w:r>
    </w:p>
    <w:p>
      <w:pPr>
        <w:spacing w:after="0" w:line="140" w:lineRule="exact"/>
        <w:rPr>
          <w:sz w:val="20"/>
          <w:szCs w:val="20"/>
          <w:color w:val="auto"/>
        </w:rPr>
      </w:pPr>
    </w:p>
    <w:p>
      <w:pPr>
        <w:jc w:val="both"/>
        <w:ind w:left="1220" w:right="139" w:firstLine="353"/>
        <w:spacing w:after="0" w:line="256" w:lineRule="auto"/>
        <w:rPr>
          <w:sz w:val="20"/>
          <w:szCs w:val="20"/>
          <w:color w:val="auto"/>
        </w:rPr>
      </w:pPr>
      <w:r>
        <w:rPr>
          <w:rFonts w:ascii="Arial" w:cs="Arial" w:eastAsia="Arial" w:hAnsi="Arial"/>
          <w:sz w:val="14"/>
          <w:szCs w:val="14"/>
          <w:color w:val="auto"/>
        </w:rPr>
        <w:t>Additionally, we may see increasing government and supranational regulation and ethical concerns related to AI use which may also significantly increase the burden and cost of research, development and compliance in this area. For example, the European Union began implementing the Artificial Intelligence Act, or the AI Act, on August 1, 2024, with a significant part of the law scheduled to come into effect in August 2026. As currently enacted, the AI Act, which may be</w:t>
      </w:r>
    </w:p>
    <w:p>
      <w:pPr>
        <w:spacing w:after="0" w:line="81"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159"/>
          </w:cols>
          <w:pgMar w:left="300" w:top="41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99"/>
        <w:spacing w:after="0" w:line="256" w:lineRule="auto"/>
        <w:rPr>
          <w:sz w:val="20"/>
          <w:szCs w:val="20"/>
          <w:color w:val="auto"/>
        </w:rPr>
      </w:pPr>
      <w:r>
        <w:rPr>
          <w:rFonts w:ascii="Arial" w:cs="Arial" w:eastAsia="Arial" w:hAnsi="Arial"/>
          <w:sz w:val="14"/>
          <w:szCs w:val="14"/>
          <w:color w:val="auto"/>
        </w:rPr>
        <w:t>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35" w:lineRule="exact"/>
        <w:rPr>
          <w:sz w:val="20"/>
          <w:szCs w:val="20"/>
          <w:color w:val="auto"/>
        </w:rPr>
      </w:pPr>
    </w:p>
    <w:p>
      <w:pPr>
        <w:ind w:left="1220" w:right="219" w:firstLine="353"/>
        <w:spacing w:after="0" w:line="246" w:lineRule="auto"/>
        <w:rPr>
          <w:sz w:val="20"/>
          <w:szCs w:val="20"/>
          <w:color w:val="auto"/>
        </w:rPr>
      </w:pPr>
      <w:r>
        <w:rPr>
          <w:rFonts w:ascii="Arial" w:cs="Arial" w:eastAsia="Arial" w:hAnsi="Arial"/>
          <w:sz w:val="14"/>
          <w:szCs w:val="14"/>
          <w:color w:val="auto"/>
        </w:rPr>
        <w:t>In the United States,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Because of the interest in AI by many governmental authorities, there may be additional laws or regulations that limit our ability to use AI or apply novel liability frameworks to the use of AI, and these risks may cause adverse effects to our business, operations or financial condition.</w:t>
      </w:r>
    </w:p>
    <w:p>
      <w:pPr>
        <w:spacing w:after="0" w:line="146"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We may collaborate with third parties, or source work from vendors, that use AI, with or without our knowledge that those third parties or vendors are using AI. As a result, we may face the risks associated with the use of AI without knowingly using AI.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be exposed to significant foreign exchange risk.</w:t>
      </w:r>
    </w:p>
    <w:p>
      <w:pPr>
        <w:spacing w:after="0" w:line="86"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Our consolidated financial statements are presented in U.S. dollars. We have operations in Denmark, and we incur portions of our expenses, and may in the future derive revenues, in a variety of currencies. As a result, we are exposed to foreign currency exchange risk as our results of operations and cash flows are subject to fluctuations in foreign currency exchange rates. Fluctuations in currency exchange rates have had, and will continue to have, an impact on our results as expressed in U.S. dollars.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financial condition, results of operations and cash flows.</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Risks Related to Ownership of Our Common Stock and Operating as a Public Company</w:t>
      </w:r>
    </w:p>
    <w:p>
      <w:pPr>
        <w:spacing w:after="0" w:line="90"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An active trading market for our common stock may not continue to develop or be sustained.</w:t>
      </w:r>
    </w:p>
    <w:p>
      <w:pPr>
        <w:spacing w:after="0" w:line="86"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Our common stock began trading on the Nasdaq Global Select Market on May 1, 2026. Prior to May 1, 2026, there was no public market for our common stock, and we cannot assure our stockholders that an active trading market for our shares will continue to develop or be sustained. As a result, it may be difficult for our stockholders to sell their shares without depressing the market price for the shares, or at all.</w:t>
      </w: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may not be able to maintain a listing of our common stock on Nasdaq.</w:t>
      </w:r>
    </w:p>
    <w:p>
      <w:pPr>
        <w:spacing w:after="0" w:line="86" w:lineRule="exact"/>
        <w:rPr>
          <w:sz w:val="20"/>
          <w:szCs w:val="20"/>
          <w:color w:val="auto"/>
        </w:rPr>
      </w:pPr>
    </w:p>
    <w:p>
      <w:pPr>
        <w:ind w:left="1220" w:right="219" w:firstLine="353"/>
        <w:spacing w:after="0" w:line="249" w:lineRule="auto"/>
        <w:rPr>
          <w:sz w:val="20"/>
          <w:szCs w:val="20"/>
          <w:color w:val="auto"/>
        </w:rPr>
      </w:pPr>
      <w:r>
        <w:rPr>
          <w:rFonts w:ascii="Arial" w:cs="Arial" w:eastAsia="Arial" w:hAnsi="Arial"/>
          <w:sz w:val="14"/>
          <w:szCs w:val="14"/>
          <w:color w:val="auto"/>
        </w:rPr>
        <w:t>We must meet certain financial and liquidity criteria to maintain the listing of our common stock on Nasdaq.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53"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159"/>
          </w:cols>
          <w:pgMar w:left="300" w:top="415"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539"/>
        <w:spacing w:after="0" w:line="294" w:lineRule="auto"/>
        <w:rPr>
          <w:sz w:val="20"/>
          <w:szCs w:val="20"/>
          <w:color w:val="auto"/>
        </w:rPr>
      </w:pPr>
      <w:r>
        <w:rPr>
          <w:rFonts w:ascii="Arial" w:cs="Arial" w:eastAsia="Arial" w:hAnsi="Arial"/>
          <w:sz w:val="14"/>
          <w:szCs w:val="14"/>
          <w:b w:val="1"/>
          <w:bCs w:val="1"/>
          <w:i w:val="1"/>
          <w:iCs w:val="1"/>
          <w:color w:val="auto"/>
        </w:rPr>
        <w:t>The price of our common stock may be volatile and fluctuate substantially, which could result in substantial losses for our stockholders.</w:t>
      </w:r>
    </w:p>
    <w:p>
      <w:pPr>
        <w:spacing w:after="0" w:line="15" w:lineRule="exact"/>
        <w:rPr>
          <w:sz w:val="20"/>
          <w:szCs w:val="20"/>
          <w:color w:val="auto"/>
        </w:rPr>
      </w:pPr>
    </w:p>
    <w:p>
      <w:pPr>
        <w:jc w:val="both"/>
        <w:ind w:left="1220" w:right="159" w:firstLine="353"/>
        <w:spacing w:after="0" w:line="256" w:lineRule="auto"/>
        <w:rPr>
          <w:sz w:val="20"/>
          <w:szCs w:val="20"/>
          <w:color w:val="auto"/>
        </w:rPr>
      </w:pPr>
      <w:r>
        <w:rPr>
          <w:rFonts w:ascii="Arial" w:cs="Arial" w:eastAsia="Arial" w:hAnsi="Arial"/>
          <w:sz w:val="14"/>
          <w:szCs w:val="14"/>
          <w:color w:val="auto"/>
        </w:rPr>
        <w:t>Our stock price is likely to be volatile. The stock market in general and the market for smaller biotechnology companies in particular have experienced extreme volatility that has often been unrelated to the operating performance of particular companies. As a result of this volatility, our stockholders may not be able to sell their common stock at or above the price they paid for their shares. The market price for our common stock may be influenced by many factors, including:</w:t>
      </w:r>
    </w:p>
    <w:p>
      <w:pPr>
        <w:spacing w:after="0" w:line="60" w:lineRule="exact"/>
        <w:rPr>
          <w:sz w:val="20"/>
          <w:szCs w:val="20"/>
          <w:color w:val="auto"/>
        </w:rPr>
      </w:pPr>
    </w:p>
    <w:p>
      <w:pPr>
        <w:ind w:left="2000" w:right="179" w:hanging="338"/>
        <w:spacing w:after="0" w:line="285" w:lineRule="auto"/>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results of or developments in preclinical studies and clinical trials of our product candidates and any other product candidates we may develop or those of our competitors or potential collaborators;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results of our preclinical studies and clinical trials of our competitors;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our success in commercializing any product candidates, if and when approved;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developments with respect to competitive products;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8"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in-licensing arrangements, strategic partnerships, joint ventures or collaborations;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intellectual property or proprietary rights;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8" w:lineRule="exact"/>
        <w:rPr>
          <w:rFonts w:ascii="Arial" w:cs="Arial" w:eastAsia="Arial" w:hAnsi="Arial"/>
          <w:sz w:val="14"/>
          <w:szCs w:val="14"/>
          <w:color w:val="auto"/>
        </w:rPr>
      </w:pPr>
    </w:p>
    <w:p>
      <w:pPr>
        <w:ind w:left="2000" w:right="639" w:hanging="338"/>
        <w:spacing w:after="0" w:line="285" w:lineRule="auto"/>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level of expenses related to our development efforts with respect to our product candidates and any future product candidates we may develop;</w:t>
      </w:r>
    </w:p>
    <w:p>
      <w:pPr>
        <w:spacing w:after="0" w:line="39" w:lineRule="exact"/>
        <w:rPr>
          <w:rFonts w:ascii="Arial" w:cs="Arial" w:eastAsia="Arial" w:hAnsi="Arial"/>
          <w:sz w:val="14"/>
          <w:szCs w:val="14"/>
          <w:color w:val="auto"/>
        </w:rPr>
      </w:pPr>
    </w:p>
    <w:p>
      <w:pPr>
        <w:ind w:left="2000" w:right="679" w:hanging="338"/>
        <w:spacing w:after="0" w:line="285" w:lineRule="auto"/>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products, product candidates, technologies or data referencing rights, and the costs of commercializing any products we are able to successfully develop;</w:t>
      </w:r>
    </w:p>
    <w:p>
      <w:pPr>
        <w:spacing w:after="0" w:line="39" w:lineRule="exact"/>
        <w:rPr>
          <w:rFonts w:ascii="Arial" w:cs="Arial" w:eastAsia="Arial" w:hAnsi="Arial"/>
          <w:sz w:val="14"/>
          <w:szCs w:val="14"/>
          <w:color w:val="auto"/>
        </w:rPr>
      </w:pPr>
    </w:p>
    <w:p>
      <w:pPr>
        <w:ind w:left="2000" w:right="359" w:hanging="338"/>
        <w:spacing w:after="0" w:line="285" w:lineRule="auto"/>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announcements or expectations of additional financing efforts;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variations in our financial results or the financial results of companies that are perceived to be similar to us;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sales of common stock by us, our executive officers, directors or principal stockholders, or others;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general economic, industry and market conditions; and</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74"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w:t>
      </w:r>
    </w:p>
    <w:p>
      <w:pPr>
        <w:spacing w:after="0" w:line="228" w:lineRule="exact"/>
        <w:rPr>
          <w:sz w:val="20"/>
          <w:szCs w:val="20"/>
          <w:color w:val="auto"/>
        </w:rPr>
      </w:pPr>
    </w:p>
    <w:p>
      <w:pPr>
        <w:ind w:left="1220" w:right="579"/>
        <w:spacing w:after="0" w:line="294" w:lineRule="auto"/>
        <w:rPr>
          <w:sz w:val="20"/>
          <w:szCs w:val="20"/>
          <w:color w:val="auto"/>
        </w:rPr>
      </w:pPr>
      <w:r>
        <w:rPr>
          <w:rFonts w:ascii="Arial" w:cs="Arial" w:eastAsia="Arial" w:hAnsi="Arial"/>
          <w:sz w:val="14"/>
          <w:szCs w:val="14"/>
          <w:b w:val="1"/>
          <w:bCs w:val="1"/>
          <w:i w:val="1"/>
          <w:iCs w:val="1"/>
          <w:color w:val="auto"/>
        </w:rPr>
        <w:t>Our executive officers, directors and principal stockholders, if they choose to act together, have the ability to significantly influence all matters submitted to stockholders for approval.</w:t>
      </w:r>
    </w:p>
    <w:p>
      <w:pPr>
        <w:spacing w:after="0" w:line="15" w:lineRule="exact"/>
        <w:rPr>
          <w:sz w:val="20"/>
          <w:szCs w:val="20"/>
          <w:color w:val="auto"/>
        </w:rPr>
      </w:pPr>
    </w:p>
    <w:p>
      <w:pPr>
        <w:ind w:left="1220" w:right="179" w:firstLine="353"/>
        <w:spacing w:after="0" w:line="252" w:lineRule="auto"/>
        <w:rPr>
          <w:sz w:val="20"/>
          <w:szCs w:val="20"/>
          <w:color w:val="auto"/>
        </w:rPr>
      </w:pPr>
      <w:r>
        <w:rPr>
          <w:rFonts w:ascii="Arial" w:cs="Arial" w:eastAsia="Arial" w:hAnsi="Arial"/>
          <w:sz w:val="14"/>
          <w:szCs w:val="14"/>
          <w:color w:val="auto"/>
        </w:rPr>
        <w:t>Our executive officers, directors and our stockholders who beneficially owned more than 5% of our outstanding common stock as of May 8, 2026, in the aggregate, beneficially owned shares representing approximately 49% of our capital stock. As a result, if these stockholders were to choose to act together, they would be able to significantly influence all matters submitted to our stockholders for approval, as well as our management and affairs. For example, these persons, if they choose to act together, would significantly influence the election of directors and approval of any merger, consolidation or sale of all or substantially all of our assets.</w:t>
      </w:r>
    </w:p>
    <w:p>
      <w:pPr>
        <w:spacing w:after="0" w:line="139" w:lineRule="exact"/>
        <w:rPr>
          <w:sz w:val="20"/>
          <w:szCs w:val="20"/>
          <w:color w:val="auto"/>
        </w:rPr>
      </w:pPr>
    </w:p>
    <w:p>
      <w:pPr>
        <w:ind w:left="1220"/>
        <w:spacing w:after="0"/>
        <w:rPr>
          <w:sz w:val="20"/>
          <w:szCs w:val="20"/>
          <w:color w:val="auto"/>
        </w:rPr>
      </w:pPr>
      <w:r>
        <w:rPr>
          <w:rFonts w:ascii="Arial" w:cs="Arial" w:eastAsia="Arial" w:hAnsi="Arial"/>
          <w:sz w:val="14"/>
          <w:szCs w:val="14"/>
          <w:color w:val="auto"/>
        </w:rPr>
        <w:t>This concentration of ownership control may:</w:t>
      </w:r>
    </w:p>
    <w:p>
      <w:pPr>
        <w:spacing w:after="0" w:line="99" w:lineRule="exact"/>
        <w:rPr>
          <w:sz w:val="20"/>
          <w:szCs w:val="20"/>
          <w:color w:val="auto"/>
        </w:rPr>
      </w:pPr>
    </w:p>
    <w:p>
      <w:pPr>
        <w:ind w:left="2000" w:hanging="338"/>
        <w:spacing w:after="0"/>
        <w:tabs>
          <w:tab w:leader="none" w:pos="20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delay, defer or prevent a change in control;</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entrench our management and board of directors; or</w:t>
      </w:r>
    </w:p>
    <w:p>
      <w:pPr>
        <w:spacing w:after="0" w:line="98" w:lineRule="exact"/>
        <w:rPr>
          <w:rFonts w:ascii="Arial" w:cs="Arial" w:eastAsia="Arial" w:hAnsi="Arial"/>
          <w:sz w:val="14"/>
          <w:szCs w:val="14"/>
          <w:color w:val="auto"/>
        </w:rPr>
      </w:pPr>
    </w:p>
    <w:p>
      <w:pPr>
        <w:ind w:left="2000" w:right="379" w:hanging="338"/>
        <w:spacing w:after="0" w:line="285" w:lineRule="auto"/>
        <w:tabs>
          <w:tab w:leader="none" w:pos="20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delay or prevent a merger, consolidation, takeover or other business combination involving us that other stockholders may desire.</w:t>
      </w: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We have broad discretion in the use of our cash, cash equivalents and marketable securities and may not use them effectively.</w:t>
      </w:r>
    </w:p>
    <w:p>
      <w:pPr>
        <w:spacing w:after="0" w:line="86" w:lineRule="exact"/>
        <w:rPr>
          <w:sz w:val="20"/>
          <w:szCs w:val="20"/>
          <w:color w:val="auto"/>
        </w:rPr>
      </w:pPr>
    </w:p>
    <w:p>
      <w:pPr>
        <w:ind w:left="1220" w:right="119" w:firstLine="353"/>
        <w:spacing w:after="0" w:line="253" w:lineRule="auto"/>
        <w:rPr>
          <w:sz w:val="20"/>
          <w:szCs w:val="20"/>
          <w:color w:val="auto"/>
        </w:rPr>
      </w:pPr>
      <w:r>
        <w:rPr>
          <w:rFonts w:ascii="Arial" w:cs="Arial" w:eastAsia="Arial" w:hAnsi="Arial"/>
          <w:sz w:val="14"/>
          <w:szCs w:val="14"/>
          <w:color w:val="auto"/>
        </w:rPr>
        <w:t>Our management has broad discretion in the application of our cash, cash equivalents and marketable securities and could use such funds in ways that do not improve our results of operations or enhance the value of our common stock or in ways that our stockholders may not agree with. The failure by our management to apply these funds effectively could result in financial losses that could cause the price of our common stock to decline and delay the development of our product candidates and any other product candidates we may develop.</w:t>
      </w:r>
    </w:p>
    <w:p>
      <w:pPr>
        <w:spacing w:after="0" w:line="25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159"/>
          </w:cols>
          <w:pgMar w:left="300" w:top="415"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319"/>
        <w:spacing w:after="0" w:line="294" w:lineRule="auto"/>
        <w:rPr>
          <w:sz w:val="20"/>
          <w:szCs w:val="20"/>
          <w:color w:val="auto"/>
        </w:rPr>
      </w:pPr>
      <w:r>
        <w:rPr>
          <w:rFonts w:ascii="Arial" w:cs="Arial" w:eastAsia="Arial" w:hAnsi="Arial"/>
          <w:sz w:val="14"/>
          <w:szCs w:val="14"/>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 w:lineRule="exact"/>
        <w:rPr>
          <w:sz w:val="20"/>
          <w:szCs w:val="20"/>
          <w:color w:val="auto"/>
        </w:rPr>
      </w:pPr>
    </w:p>
    <w:p>
      <w:pPr>
        <w:ind w:left="1220" w:right="159" w:firstLine="353"/>
        <w:spacing w:after="0" w:line="256"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 There is no guarantee that our common stock will appreciate or even maintain the price at which our stockholders purchase it.</w:t>
      </w:r>
    </w:p>
    <w:p>
      <w:pPr>
        <w:spacing w:after="0" w:line="224" w:lineRule="exact"/>
        <w:rPr>
          <w:sz w:val="20"/>
          <w:szCs w:val="20"/>
          <w:color w:val="auto"/>
        </w:rPr>
      </w:pPr>
    </w:p>
    <w:p>
      <w:pPr>
        <w:ind w:left="1220" w:right="199"/>
        <w:spacing w:after="0" w:line="294" w:lineRule="auto"/>
        <w:rPr>
          <w:sz w:val="20"/>
          <w:szCs w:val="20"/>
          <w:color w:val="auto"/>
        </w:rPr>
      </w:pPr>
      <w:r>
        <w:rPr>
          <w:rFonts w:ascii="Arial" w:cs="Arial" w:eastAsia="Arial" w:hAnsi="Arial"/>
          <w:sz w:val="14"/>
          <w:szCs w:val="14"/>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15" w:lineRule="exact"/>
        <w:rPr>
          <w:sz w:val="20"/>
          <w:szCs w:val="20"/>
          <w:color w:val="auto"/>
        </w:rPr>
      </w:pPr>
    </w:p>
    <w:p>
      <w:pPr>
        <w:ind w:left="1220" w:right="139" w:firstLine="353"/>
        <w:spacing w:after="0" w:line="249"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in the market that the holders of a large number of shares intend to sell shares, could reduce the market price of our common stock. As of May 8, 2026, we had 46,705,410 shares of common stock outstanding, which includes the 19,262,500 shares that we sold in our IPO, which may be resold in the public market immediately without restriction, unless purchased by our affiliates. The remaining shares are currently restricted as a result of securities laws or lock-up agreements but will become eligible to be sold at various times after the expiration of the applicable lock-up period. The representatives of the underwriters may release some or all of the shares of common stock subject to lock-up agreements at any time and without notice, which would allow for earlier sales of shares in the public market.</w:t>
      </w:r>
    </w:p>
    <w:p>
      <w:pPr>
        <w:spacing w:after="0" w:line="140"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In addition, certain of our executive officers, directors and stockholders affiliated with our directors may enter into Rule 10b5-1 plans providing for sales of shares of our common stock from time to time. Under a Rule 10b5-1 plan, a broker executes trades pursuant to parameters established by the executive officer, director or affiliated stockholder when entering into the plan, without further direction from the executive officer, director or affiliated stockholder. A Rule 10b5-1 plan may be amended or terminated in some circumstances. Our executive officers, directors and stockholders affiliated with our directors also may buy or sell shares outside of a Rule 10b5-1 plan when they are not in possession of material, nonpublic information.</w:t>
      </w:r>
    </w:p>
    <w:p>
      <w:pPr>
        <w:spacing w:after="0" w:line="141" w:lineRule="exact"/>
        <w:rPr>
          <w:sz w:val="20"/>
          <w:szCs w:val="20"/>
          <w:color w:val="auto"/>
        </w:rPr>
      </w:pPr>
    </w:p>
    <w:p>
      <w:pPr>
        <w:ind w:left="1220" w:right="179" w:firstLine="353"/>
        <w:spacing w:after="0" w:line="250" w:lineRule="auto"/>
        <w:rPr>
          <w:sz w:val="20"/>
          <w:szCs w:val="20"/>
          <w:color w:val="auto"/>
        </w:rPr>
      </w:pPr>
      <w:r>
        <w:rPr>
          <w:rFonts w:ascii="Arial" w:cs="Arial" w:eastAsia="Arial" w:hAnsi="Arial"/>
          <w:sz w:val="14"/>
          <w:szCs w:val="14"/>
          <w:color w:val="auto"/>
        </w:rPr>
        <w:t>Moreover, beginning 180 days after the completion of the IPO, holders of an aggregate of 27,442,910 shares of our common stock will have rights, subject to specified conditions, to require us to file registration statements covering their shares or to include their shares in registration statements that we may file for ourselves or other stockholders. We have also filed a registration statement on Form S-8 to register shares of common stock that we may issue under our equity compensation plans. Shares registered under this registration statement on Form S-8 can be freely sold in the public market upon issuance, subject to volume limitations applicable to affiliates, vesting arrangements, exercise of options and warrants, and the lock-up agreements entered into in connection with the IPO.</w:t>
      </w:r>
    </w:p>
    <w:p>
      <w:pPr>
        <w:spacing w:after="0" w:line="229" w:lineRule="exact"/>
        <w:rPr>
          <w:sz w:val="20"/>
          <w:szCs w:val="20"/>
          <w:color w:val="auto"/>
        </w:rPr>
      </w:pPr>
    </w:p>
    <w:p>
      <w:pPr>
        <w:ind w:left="1220" w:right="119"/>
        <w:spacing w:after="0" w:line="294"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 w:lineRule="exact"/>
        <w:rPr>
          <w:sz w:val="20"/>
          <w:szCs w:val="20"/>
          <w:color w:val="auto"/>
        </w:rPr>
      </w:pPr>
    </w:p>
    <w:p>
      <w:pPr>
        <w:ind w:left="1220" w:right="159" w:firstLine="353"/>
        <w:spacing w:after="0" w:line="247" w:lineRule="auto"/>
        <w:rPr>
          <w:sz w:val="20"/>
          <w:szCs w:val="20"/>
          <w:color w:val="auto"/>
        </w:rPr>
      </w:pPr>
      <w:r>
        <w:rPr>
          <w:rFonts w:ascii="Arial" w:cs="Arial" w:eastAsia="Arial" w:hAnsi="Arial"/>
          <w:sz w:val="14"/>
          <w:szCs w:val="14"/>
          <w:color w:val="auto"/>
        </w:rPr>
        <w:t>We are an “emerging growth company,” or EGC, as defined in the Jumpstart Our Business Startups Act of 2012, or the JOBS Act. We may remain an EGC until December 31, 2031, although if the market value of our common stock that is held by non-affiliates exceeds $700.0 million as of any June 30 before that time or if we have annual gross revenues of $1.235 billion or more in any fiscal year, we would cease to be an EGC as of December 31 of the applicable year. We also would cease to be an EGC if we issue more than</w:t>
      </w:r>
    </w:p>
    <w:p>
      <w:pPr>
        <w:jc w:val="both"/>
        <w:ind w:left="1220" w:right="399"/>
        <w:spacing w:after="0" w:line="253" w:lineRule="auto"/>
        <w:rPr>
          <w:sz w:val="20"/>
          <w:szCs w:val="20"/>
          <w:color w:val="auto"/>
        </w:rPr>
      </w:pPr>
      <w:r>
        <w:rPr>
          <w:rFonts w:ascii="Arial" w:cs="Arial" w:eastAsia="Arial" w:hAnsi="Arial"/>
          <w:sz w:val="14"/>
          <w:szCs w:val="14"/>
          <w:color w:val="auto"/>
        </w:rPr>
        <w:t>$1.0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61" w:lineRule="exact"/>
        <w:rPr>
          <w:sz w:val="20"/>
          <w:szCs w:val="20"/>
          <w:color w:val="auto"/>
        </w:rPr>
      </w:pPr>
    </w:p>
    <w:p>
      <w:pPr>
        <w:ind w:left="2000" w:right="239" w:hanging="338"/>
        <w:spacing w:after="0" w:line="285" w:lineRule="auto"/>
        <w:tabs>
          <w:tab w:leader="none" w:pos="20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in the assessment of our internal control over financial reporting;</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and</w:t>
      </w:r>
    </w:p>
    <w:p>
      <w:pPr>
        <w:spacing w:after="0" w:line="98" w:lineRule="exact"/>
        <w:rPr>
          <w:rFonts w:ascii="Arial" w:cs="Arial" w:eastAsia="Arial" w:hAnsi="Arial"/>
          <w:sz w:val="14"/>
          <w:szCs w:val="14"/>
          <w:color w:val="auto"/>
        </w:rPr>
      </w:pPr>
    </w:p>
    <w:p>
      <w:pPr>
        <w:ind w:left="2000" w:right="99" w:hanging="338"/>
        <w:spacing w:after="0" w:line="285" w:lineRule="auto"/>
        <w:tabs>
          <w:tab w:leader="none" w:pos="20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vote on executive compensation and stockholder approval of any golden parachute payments not previously approved.</w:t>
      </w:r>
    </w:p>
    <w:p>
      <w:pPr>
        <w:spacing w:after="0" w:line="115" w:lineRule="exact"/>
        <w:rPr>
          <w:sz w:val="20"/>
          <w:szCs w:val="20"/>
          <w:color w:val="auto"/>
        </w:rPr>
      </w:pPr>
    </w:p>
    <w:p>
      <w:pPr>
        <w:jc w:val="both"/>
        <w:ind w:left="1220" w:right="179" w:firstLine="353"/>
        <w:spacing w:after="0" w:line="263" w:lineRule="auto"/>
        <w:rPr>
          <w:sz w:val="20"/>
          <w:szCs w:val="20"/>
          <w:color w:val="auto"/>
        </w:rPr>
      </w:pPr>
      <w:r>
        <w:rPr>
          <w:rFonts w:ascii="Arial" w:cs="Arial" w:eastAsia="Arial" w:hAnsi="Arial"/>
          <w:sz w:val="14"/>
          <w:szCs w:val="14"/>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1" w:lineRule="exact"/>
        <w:rPr>
          <w:sz w:val="20"/>
          <w:szCs w:val="20"/>
          <w:color w:val="auto"/>
        </w:rPr>
      </w:pPr>
    </w:p>
    <w:p>
      <w:pPr>
        <w:ind w:left="1220" w:right="199" w:firstLine="353"/>
        <w:spacing w:after="0" w:line="251" w:lineRule="auto"/>
        <w:rPr>
          <w:sz w:val="20"/>
          <w:szCs w:val="20"/>
          <w:color w:val="auto"/>
        </w:rPr>
      </w:pPr>
      <w:r>
        <w:rPr>
          <w:rFonts w:ascii="Arial" w:cs="Arial" w:eastAsia="Arial" w:hAnsi="Arial"/>
          <w:sz w:val="14"/>
          <w:szCs w:val="14"/>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(1) irrevocably elect to “opt out” of such extended transition period or (2) no longer qualify as an EGC.</w:t>
      </w:r>
    </w:p>
    <w:p>
      <w:pPr>
        <w:spacing w:after="0" w:line="25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0159"/>
          </w:cols>
          <w:pgMar w:left="300" w:top="415"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We are also a “smaller reporting company” as defined in the Securities Exchange Act of 1934,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common stock held by non-affiliates is less than $250.0 million measured on the last business day of our second fiscal quarter, or our annual revenue is less than $100.0 million during the most recently completed fiscal year and our common stock held by non-affiliates is less than $700.0 million measured on the last business day of our second fiscal quarter.</w:t>
      </w:r>
    </w:p>
    <w:p>
      <w:pPr>
        <w:spacing w:after="0" w:line="229" w:lineRule="exact"/>
        <w:rPr>
          <w:sz w:val="20"/>
          <w:szCs w:val="20"/>
          <w:color w:val="auto"/>
        </w:rPr>
      </w:pPr>
    </w:p>
    <w:p>
      <w:pPr>
        <w:jc w:val="both"/>
        <w:ind w:left="1220" w:right="179"/>
        <w:spacing w:after="0" w:line="268" w:lineRule="auto"/>
        <w:rPr>
          <w:sz w:val="20"/>
          <w:szCs w:val="20"/>
          <w:color w:val="auto"/>
        </w:rPr>
      </w:pPr>
      <w:r>
        <w:rPr>
          <w:rFonts w:ascii="Arial" w:cs="Arial" w:eastAsia="Arial" w:hAnsi="Arial"/>
          <w:sz w:val="14"/>
          <w:szCs w:val="14"/>
          <w:b w:val="1"/>
          <w:bCs w:val="1"/>
          <w:i w:val="1"/>
          <w:iCs w:val="1"/>
          <w:color w:val="auto"/>
        </w:rPr>
        <w:t>We have incurred and will continue to incur increased costs as a result of operating as a public company, and our management has devoted and will continue to be required to devote substantial time to new compliance initiatives and corporate governance practices.</w:t>
      </w:r>
    </w:p>
    <w:p>
      <w:pPr>
        <w:spacing w:after="0" w:line="32" w:lineRule="exact"/>
        <w:rPr>
          <w:sz w:val="20"/>
          <w:szCs w:val="20"/>
          <w:color w:val="auto"/>
        </w:rPr>
      </w:pPr>
    </w:p>
    <w:p>
      <w:pPr>
        <w:ind w:left="1220" w:right="159" w:firstLine="353"/>
        <w:spacing w:after="0" w:line="245" w:lineRule="auto"/>
        <w:rPr>
          <w:sz w:val="20"/>
          <w:szCs w:val="20"/>
          <w:color w:val="auto"/>
        </w:rPr>
      </w:pPr>
      <w:r>
        <w:rPr>
          <w:rFonts w:ascii="Arial" w:cs="Arial" w:eastAsia="Arial" w:hAnsi="Arial"/>
          <w:sz w:val="14"/>
          <w:szCs w:val="14"/>
          <w:color w:val="auto"/>
        </w:rPr>
        <w:t>As a public company, and particularly after we are no longer an EGC or smaller reporting company, we will incur significant legal, accounting and other expenses that we did not previously incur as a private company. The Sarbanes-Oxley Act of 2002, or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devote and will need to continue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compared to when we were a private company.</w:t>
      </w:r>
    </w:p>
    <w:p>
      <w:pPr>
        <w:spacing w:after="0" w:line="309" w:lineRule="exact"/>
        <w:rPr>
          <w:sz w:val="20"/>
          <w:szCs w:val="20"/>
          <w:color w:val="auto"/>
        </w:rPr>
      </w:pPr>
    </w:p>
    <w:p>
      <w:pPr>
        <w:ind w:left="1220" w:right="159" w:firstLine="353"/>
        <w:spacing w:after="0" w:line="252" w:lineRule="auto"/>
        <w:rPr>
          <w:sz w:val="20"/>
          <w:szCs w:val="20"/>
          <w:color w:val="auto"/>
        </w:rPr>
      </w:pPr>
      <w:r>
        <w:rPr>
          <w:rFonts w:ascii="Arial" w:cs="Arial" w:eastAsia="Arial" w:hAnsi="Arial"/>
          <w:sz w:val="14"/>
          <w:szCs w:val="14"/>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9" w:lineRule="exact"/>
        <w:rPr>
          <w:sz w:val="20"/>
          <w:szCs w:val="20"/>
          <w:color w:val="auto"/>
        </w:rPr>
      </w:pPr>
    </w:p>
    <w:p>
      <w:pPr>
        <w:ind w:left="1220" w:right="119" w:firstLine="353"/>
        <w:spacing w:after="0" w:line="245" w:lineRule="auto"/>
        <w:rPr>
          <w:sz w:val="20"/>
          <w:szCs w:val="20"/>
          <w:color w:val="auto"/>
        </w:rPr>
      </w:pPr>
      <w:r>
        <w:rPr>
          <w:rFonts w:ascii="Arial" w:cs="Arial" w:eastAsia="Arial" w:hAnsi="Arial"/>
          <w:sz w:val="14"/>
          <w:szCs w:val="14"/>
          <w:color w:val="auto"/>
        </w:rPr>
        <w:t>Pursuant to Section 404 of the Sarbanes-Oxley Act, or Section 404, we will be required to furnish a report by our management on our internal control over financial reporting beginning with our filing of an Annual Report on Form 10-K with the SEC for the fiscal year ending December 31, 2027. However, while we remain an EGC,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are unable to conclude that our internal control over financial reporting is effective, it could result in an adverse reaction in the financial markets due to a loss of confidence in the reliability of our financial statements. Moreover, any material weakness or other deficiencies in our internal control over financial reporting may impede our ability to file timely and accurate reports with the SEC.</w:t>
      </w:r>
    </w:p>
    <w:p>
      <w:pPr>
        <w:spacing w:after="0" w:line="90"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0159"/>
          </w:cols>
          <w:pgMar w:left="300" w:top="415"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259"/>
        <w:spacing w:after="0" w:line="259"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remedy our material weaknesses, or if we fail to establish and maintain an effective system of internal control over financial reporting, we may be unable to produce timely and accurate financial statements or prevent fraud, which could adversely impact our business and our stock price.</w:t>
      </w:r>
    </w:p>
    <w:p>
      <w:pPr>
        <w:spacing w:after="0" w:line="39" w:lineRule="exact"/>
        <w:rPr>
          <w:sz w:val="20"/>
          <w:szCs w:val="20"/>
          <w:color w:val="auto"/>
        </w:rPr>
      </w:pPr>
    </w:p>
    <w:p>
      <w:pPr>
        <w:ind w:left="1220" w:right="139" w:firstLine="353"/>
        <w:spacing w:after="0" w:line="252" w:lineRule="auto"/>
        <w:rPr>
          <w:sz w:val="20"/>
          <w:szCs w:val="20"/>
          <w:color w:val="auto"/>
        </w:rPr>
      </w:pPr>
      <w:r>
        <w:rPr>
          <w:rFonts w:ascii="Arial" w:cs="Arial" w:eastAsia="Arial" w:hAnsi="Arial"/>
          <w:sz w:val="14"/>
          <w:szCs w:val="14"/>
          <w:color w:val="auto"/>
        </w:rPr>
        <w:t>In connection with the audit of our consolidated financial statements for the years ended December 31, 2024 and 2025, we identified material weaknesses in our internal control over financial reporting. As defined in the standards of the Public Company Accounting Oversight Board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9" w:lineRule="exact"/>
        <w:rPr>
          <w:sz w:val="20"/>
          <w:szCs w:val="20"/>
          <w:color w:val="auto"/>
        </w:rPr>
      </w:pPr>
    </w:p>
    <w:p>
      <w:pPr>
        <w:jc w:val="both"/>
        <w:ind w:left="1220" w:right="199" w:firstLine="353"/>
        <w:spacing w:after="0" w:line="256" w:lineRule="auto"/>
        <w:rPr>
          <w:sz w:val="20"/>
          <w:szCs w:val="20"/>
          <w:color w:val="auto"/>
        </w:rPr>
      </w:pPr>
      <w:r>
        <w:rPr>
          <w:rFonts w:ascii="Arial" w:cs="Arial" w:eastAsia="Arial" w:hAnsi="Arial"/>
          <w:sz w:val="14"/>
          <w:szCs w:val="14"/>
          <w:color w:val="auto"/>
        </w:rPr>
        <w:t>The material weaknesses were (1) controls around the financial statement close process were not designed or operating effectively, including as a result of an inappropriate segregation of conflicting duties and insufficient evidence of performance and review of controls, and (2) information system controls around user access, segregation of conflicting duties and change management were not designed or operating effectively.</w:t>
      </w:r>
    </w:p>
    <w:p>
      <w:pPr>
        <w:spacing w:after="0" w:line="135" w:lineRule="exact"/>
        <w:rPr>
          <w:sz w:val="20"/>
          <w:szCs w:val="20"/>
          <w:color w:val="auto"/>
        </w:rPr>
      </w:pPr>
    </w:p>
    <w:p>
      <w:pPr>
        <w:ind w:left="1220" w:right="119" w:firstLine="353"/>
        <w:spacing w:after="0" w:line="250" w:lineRule="auto"/>
        <w:rPr>
          <w:sz w:val="20"/>
          <w:szCs w:val="20"/>
          <w:color w:val="auto"/>
        </w:rPr>
      </w:pPr>
      <w:r>
        <w:rPr>
          <w:rFonts w:ascii="Arial" w:cs="Arial" w:eastAsia="Arial" w:hAnsi="Arial"/>
          <w:sz w:val="14"/>
          <w:szCs w:val="14"/>
          <w:color w:val="auto"/>
        </w:rPr>
        <w:t>To remediate these material weaknesses, we have made and plan to continue to make improvements to the design and operating effectiveness of our internal controls over financial reporting, including the monitoring, oversight and evaluation of our internal controls. We also plan to allocate more internal resources to our internal controls, including by hiring additional staff, and intend to engage external advisors to provide training and to reassess and redesign processes and develop new controls as appropriate, including information technology controls covering access and change management as well as cyber risks, and assisting with the evaluation and documentation of the risk assessment, design and operating effectiveness of our internal controls over financial reporting.</w:t>
      </w:r>
    </w:p>
    <w:p>
      <w:pPr>
        <w:spacing w:after="0" w:line="141" w:lineRule="exact"/>
        <w:rPr>
          <w:sz w:val="20"/>
          <w:szCs w:val="20"/>
          <w:color w:val="auto"/>
        </w:rPr>
      </w:pPr>
    </w:p>
    <w:p>
      <w:pPr>
        <w:ind w:left="1220" w:right="179" w:firstLine="353"/>
        <w:spacing w:after="0" w:line="246" w:lineRule="auto"/>
        <w:rPr>
          <w:sz w:val="20"/>
          <w:szCs w:val="20"/>
          <w:color w:val="auto"/>
        </w:rPr>
      </w:pPr>
      <w:r>
        <w:rPr>
          <w:rFonts w:ascii="Arial" w:cs="Arial" w:eastAsia="Arial" w:hAnsi="Arial"/>
          <w:sz w:val="14"/>
          <w:szCs w:val="14"/>
          <w:color w:val="auto"/>
        </w:rPr>
        <w:t>We cannot assure our stockholders that the measures we have taken to date, and actions we plan to take in the future, will be sufficient to remediate the control deficiencies that led to the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identify any additional material weaknesses in the future, or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spacing w:after="0" w:line="394"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Our disclosure controls and procedures may not prevent or detect all errors or acts of fraud.</w:t>
      </w:r>
    </w:p>
    <w:p>
      <w:pPr>
        <w:spacing w:after="0" w:line="86" w:lineRule="exact"/>
        <w:rPr>
          <w:sz w:val="20"/>
          <w:szCs w:val="20"/>
          <w:color w:val="auto"/>
        </w:rPr>
      </w:pPr>
    </w:p>
    <w:p>
      <w:pPr>
        <w:ind w:left="1220" w:right="139" w:firstLine="353"/>
        <w:spacing w:after="0" w:line="247" w:lineRule="auto"/>
        <w:rPr>
          <w:sz w:val="20"/>
          <w:szCs w:val="20"/>
          <w:color w:val="auto"/>
        </w:rPr>
      </w:pPr>
      <w:r>
        <w:rPr>
          <w:rFonts w:ascii="Arial" w:cs="Arial" w:eastAsia="Arial" w:hAnsi="Arial"/>
          <w:sz w:val="14"/>
          <w:szCs w:val="14"/>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31" w:lineRule="exact"/>
        <w:rPr>
          <w:sz w:val="20"/>
          <w:szCs w:val="20"/>
          <w:color w:val="auto"/>
        </w:rPr>
      </w:pPr>
    </w:p>
    <w:p>
      <w:pPr>
        <w:ind w:left="1220" w:right="159"/>
        <w:spacing w:after="0" w:line="268" w:lineRule="auto"/>
        <w:rPr>
          <w:sz w:val="20"/>
          <w:szCs w:val="20"/>
          <w:color w:val="auto"/>
        </w:rPr>
      </w:pPr>
      <w:r>
        <w:rPr>
          <w:rFonts w:ascii="Arial" w:cs="Arial" w:eastAsia="Arial" w:hAnsi="Arial"/>
          <w:sz w:val="14"/>
          <w:szCs w:val="14"/>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32" w:lineRule="exact"/>
        <w:rPr>
          <w:sz w:val="20"/>
          <w:szCs w:val="20"/>
          <w:color w:val="auto"/>
        </w:rPr>
      </w:pPr>
    </w:p>
    <w:p>
      <w:pPr>
        <w:ind w:left="1220" w:right="119" w:firstLine="353"/>
        <w:spacing w:after="0" w:line="249" w:lineRule="auto"/>
        <w:rPr>
          <w:sz w:val="20"/>
          <w:szCs w:val="20"/>
          <w:color w:val="auto"/>
        </w:rPr>
      </w:pPr>
      <w:r>
        <w:rPr>
          <w:rFonts w:ascii="Arial" w:cs="Arial" w:eastAsia="Arial" w:hAnsi="Arial"/>
          <w:sz w:val="14"/>
          <w:szCs w:val="14"/>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4" w:lineRule="exact"/>
        <w:rPr>
          <w:sz w:val="20"/>
          <w:szCs w:val="20"/>
          <w:color w:val="auto"/>
        </w:rPr>
      </w:pPr>
    </w:p>
    <w:p>
      <w:pPr>
        <w:ind w:left="5520" w:right="1279" w:hanging="3858"/>
        <w:spacing w:after="0" w:line="463" w:lineRule="auto"/>
        <w:tabs>
          <w:tab w:leader="none" w:pos="2005" w:val="left"/>
        </w:tabs>
        <w:numPr>
          <w:ilvl w:val="0"/>
          <w:numId w:val="55"/>
        </w:numPr>
        <w:rPr>
          <w:rFonts w:ascii="Arial" w:cs="Arial" w:eastAsia="Arial" w:hAnsi="Arial"/>
          <w:sz w:val="14"/>
          <w:szCs w:val="14"/>
          <w:color w:val="auto"/>
        </w:rPr>
      </w:pPr>
      <w:r>
        <w:rPr>
          <w:rFonts w:ascii="Arial" w:cs="Arial" w:eastAsia="Arial" w:hAnsi="Arial"/>
          <w:sz w:val="14"/>
          <w:szCs w:val="14"/>
          <w:color w:val="auto"/>
        </w:rPr>
        <w:t>establish a classified board of directors such that only one of three classes of directors is elected each year; 102</w:t>
      </w:r>
    </w:p>
    <w:p>
      <w:pPr>
        <w:sectPr>
          <w:pgSz w:w="11900" w:h="16838" w:orient="portrait"/>
          <w:cols w:equalWidth="0" w:num="1">
            <w:col w:w="10159"/>
          </w:cols>
          <w:pgMar w:left="300" w:top="415"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2000" w:hanging="338"/>
        <w:spacing w:after="0"/>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allow the authorized number of our directors to be changed only by resolution of our board of directors;</w:t>
      </w:r>
    </w:p>
    <w:p>
      <w:pPr>
        <w:spacing w:after="0" w:line="98" w:lineRule="exact"/>
        <w:rPr>
          <w:rFonts w:ascii="Arial" w:cs="Arial" w:eastAsia="Arial" w:hAnsi="Arial"/>
          <w:sz w:val="14"/>
          <w:szCs w:val="14"/>
          <w:color w:val="auto"/>
        </w:rPr>
      </w:pPr>
    </w:p>
    <w:p>
      <w:pPr>
        <w:ind w:left="2000" w:hanging="338"/>
        <w:spacing w:after="0"/>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limit the manner in which stockholders can remove directors from our board of directors;</w:t>
      </w:r>
    </w:p>
    <w:p>
      <w:pPr>
        <w:spacing w:after="0" w:line="98" w:lineRule="exact"/>
        <w:rPr>
          <w:rFonts w:ascii="Arial" w:cs="Arial" w:eastAsia="Arial" w:hAnsi="Arial"/>
          <w:sz w:val="14"/>
          <w:szCs w:val="14"/>
          <w:color w:val="auto"/>
        </w:rPr>
      </w:pPr>
    </w:p>
    <w:p>
      <w:pPr>
        <w:ind w:left="2000" w:right="839" w:hanging="338"/>
        <w:spacing w:after="0" w:line="285" w:lineRule="auto"/>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establish advance notice requirements for stockholder proposals that can be acted on at stockholder meetings and nominations to our board of directors;</w:t>
      </w:r>
    </w:p>
    <w:p>
      <w:pPr>
        <w:spacing w:after="0" w:line="39" w:lineRule="exact"/>
        <w:rPr>
          <w:rFonts w:ascii="Arial" w:cs="Arial" w:eastAsia="Arial" w:hAnsi="Arial"/>
          <w:sz w:val="14"/>
          <w:szCs w:val="14"/>
          <w:color w:val="auto"/>
        </w:rPr>
      </w:pPr>
    </w:p>
    <w:p>
      <w:pPr>
        <w:ind w:left="2000" w:right="119" w:hanging="338"/>
        <w:spacing w:after="0" w:line="285" w:lineRule="auto"/>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39" w:lineRule="exact"/>
        <w:rPr>
          <w:rFonts w:ascii="Arial" w:cs="Arial" w:eastAsia="Arial" w:hAnsi="Arial"/>
          <w:sz w:val="14"/>
          <w:szCs w:val="14"/>
          <w:color w:val="auto"/>
        </w:rPr>
      </w:pPr>
    </w:p>
    <w:p>
      <w:pPr>
        <w:ind w:left="2000" w:hanging="338"/>
        <w:spacing w:after="0"/>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limit who may call stockholder meetings;</w:t>
      </w:r>
    </w:p>
    <w:p>
      <w:pPr>
        <w:spacing w:after="0" w:line="98" w:lineRule="exact"/>
        <w:rPr>
          <w:rFonts w:ascii="Arial" w:cs="Arial" w:eastAsia="Arial" w:hAnsi="Arial"/>
          <w:sz w:val="14"/>
          <w:szCs w:val="14"/>
          <w:color w:val="auto"/>
        </w:rPr>
      </w:pPr>
    </w:p>
    <w:p>
      <w:pPr>
        <w:ind w:left="2000" w:right="119" w:hanging="338"/>
        <w:spacing w:after="0" w:line="263" w:lineRule="auto"/>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5" w:lineRule="exact"/>
        <w:rPr>
          <w:rFonts w:ascii="Arial" w:cs="Arial" w:eastAsia="Arial" w:hAnsi="Arial"/>
          <w:sz w:val="14"/>
          <w:szCs w:val="14"/>
          <w:color w:val="auto"/>
        </w:rPr>
      </w:pPr>
    </w:p>
    <w:p>
      <w:pPr>
        <w:ind w:left="2000" w:right="219" w:hanging="338"/>
        <w:spacing w:after="0" w:line="285" w:lineRule="auto"/>
        <w:tabs>
          <w:tab w:leader="none" w:pos="20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require the approval of the holders of at least 75% of the votes that all our stockholders would be entitled to cast to amend or repeal specified provisions of our certificate of incorporation or bylaws.</w:t>
      </w:r>
    </w:p>
    <w:p>
      <w:pPr>
        <w:spacing w:after="0" w:line="115" w:lineRule="exact"/>
        <w:rPr>
          <w:sz w:val="20"/>
          <w:szCs w:val="20"/>
          <w:color w:val="auto"/>
        </w:rPr>
      </w:pPr>
    </w:p>
    <w:p>
      <w:pPr>
        <w:ind w:left="1220" w:right="399" w:firstLine="353"/>
        <w:spacing w:after="0" w:line="256"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24" w:lineRule="exact"/>
        <w:rPr>
          <w:sz w:val="20"/>
          <w:szCs w:val="20"/>
          <w:color w:val="auto"/>
        </w:rPr>
      </w:pPr>
    </w:p>
    <w:p>
      <w:pPr>
        <w:ind w:left="1220" w:right="279"/>
        <w:spacing w:after="0" w:line="259" w:lineRule="auto"/>
        <w:rPr>
          <w:sz w:val="20"/>
          <w:szCs w:val="20"/>
          <w:color w:val="auto"/>
        </w:rPr>
      </w:pPr>
      <w:r>
        <w:rPr>
          <w:rFonts w:ascii="Arial" w:cs="Arial" w:eastAsia="Arial" w:hAnsi="Arial"/>
          <w:sz w:val="14"/>
          <w:szCs w:val="14"/>
          <w:b w:val="1"/>
          <w:bCs w:val="1"/>
          <w:i w:val="1"/>
          <w:iCs w:val="1"/>
          <w:color w:val="auto"/>
        </w:rPr>
        <w:t>Our certificate of incorporation designates the Court of Chancery of the State of Delaware and the federal district courts of the United States of America as the sole and exclusive forum for certain types of actions and proceedings that may be initiated by our stockholders, which could limit our stockholders’ ability to obtain a favorable judicial forum for disputes with us or our directors, officers and employees.</w:t>
      </w:r>
    </w:p>
    <w:p>
      <w:pPr>
        <w:spacing w:after="0" w:line="39" w:lineRule="exact"/>
        <w:rPr>
          <w:sz w:val="20"/>
          <w:szCs w:val="20"/>
          <w:color w:val="auto"/>
        </w:rPr>
      </w:pPr>
    </w:p>
    <w:p>
      <w:pPr>
        <w:ind w:left="1220" w:right="379" w:firstLine="353"/>
        <w:spacing w:after="0" w:line="256" w:lineRule="auto"/>
        <w:rPr>
          <w:sz w:val="20"/>
          <w:szCs w:val="20"/>
          <w:color w:val="auto"/>
        </w:rPr>
      </w:pPr>
      <w:r>
        <w:rPr>
          <w:rFonts w:ascii="Arial" w:cs="Arial" w:eastAsia="Arial" w:hAnsi="Arial"/>
          <w:sz w:val="14"/>
          <w:szCs w:val="14"/>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any action asserting an internal corporate claim as defined in Section 115 of the DGCL.</w:t>
      </w:r>
    </w:p>
    <w:p>
      <w:pPr>
        <w:spacing w:after="0" w:line="135" w:lineRule="exact"/>
        <w:rPr>
          <w:sz w:val="20"/>
          <w:szCs w:val="20"/>
          <w:color w:val="auto"/>
        </w:rPr>
      </w:pPr>
    </w:p>
    <w:p>
      <w:pPr>
        <w:ind w:left="1220" w:right="99" w:firstLine="353"/>
        <w:spacing w:after="0" w:line="246" w:lineRule="auto"/>
        <w:rPr>
          <w:sz w:val="20"/>
          <w:szCs w:val="20"/>
          <w:color w:val="auto"/>
        </w:rPr>
      </w:pPr>
      <w:r>
        <w:rPr>
          <w:rFonts w:ascii="Arial" w:cs="Arial" w:eastAsia="Arial" w:hAnsi="Arial"/>
          <w:sz w:val="14"/>
          <w:szCs w:val="14"/>
          <w:color w:val="auto"/>
        </w:rPr>
        <w:t>These choice of forum provisions will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to the fullest extent permitted by law, be the sole and exclusive forum for the resolution of any claims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43" w:lineRule="exact"/>
        <w:rPr>
          <w:sz w:val="20"/>
          <w:szCs w:val="20"/>
          <w:color w:val="auto"/>
        </w:rPr>
      </w:pPr>
    </w:p>
    <w:p>
      <w:pPr>
        <w:ind w:left="1220" w:right="219" w:firstLine="353"/>
        <w:spacing w:after="0" w:line="252" w:lineRule="auto"/>
        <w:rPr>
          <w:sz w:val="20"/>
          <w:szCs w:val="20"/>
          <w:color w:val="auto"/>
        </w:rPr>
      </w:pPr>
      <w:r>
        <w:rPr>
          <w:rFonts w:ascii="Arial" w:cs="Arial" w:eastAsia="Arial" w:hAnsi="Arial"/>
          <w:sz w:val="14"/>
          <w:szCs w:val="14"/>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If a court were to find either exclusive forum provision contained in our certificate of incorporation to be inapplicable or unenforceable in an action, we may incur further significant additional costs associated with resolving such action in other jurisdictions, all of which could materially adversely affect our business, financial condition and results of operations.</w:t>
      </w:r>
    </w:p>
    <w:p>
      <w:pPr>
        <w:spacing w:after="0" w:line="228" w:lineRule="exact"/>
        <w:rPr>
          <w:sz w:val="20"/>
          <w:szCs w:val="20"/>
          <w:color w:val="auto"/>
        </w:rPr>
      </w:pPr>
    </w:p>
    <w:p>
      <w:pPr>
        <w:ind w:left="1220" w:right="339"/>
        <w:spacing w:after="0" w:line="268" w:lineRule="auto"/>
        <w:rPr>
          <w:sz w:val="20"/>
          <w:szCs w:val="20"/>
          <w:color w:val="auto"/>
        </w:rPr>
      </w:pPr>
      <w:r>
        <w:rPr>
          <w:rFonts w:ascii="Arial" w:cs="Arial" w:eastAsia="Arial" w:hAnsi="Arial"/>
          <w:sz w:val="14"/>
          <w:szCs w:val="14"/>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32" w:lineRule="exact"/>
        <w:rPr>
          <w:sz w:val="20"/>
          <w:szCs w:val="20"/>
          <w:color w:val="auto"/>
        </w:rPr>
      </w:pPr>
    </w:p>
    <w:p>
      <w:pPr>
        <w:ind w:left="1220" w:right="199" w:firstLine="353"/>
        <w:spacing w:after="0" w:line="256" w:lineRule="auto"/>
        <w:rPr>
          <w:sz w:val="20"/>
          <w:szCs w:val="20"/>
          <w:color w:val="auto"/>
        </w:rPr>
      </w:pPr>
      <w:r>
        <w:rPr>
          <w:rFonts w:ascii="Arial" w:cs="Arial" w:eastAsia="Arial" w:hAnsi="Arial"/>
          <w:sz w:val="14"/>
          <w:szCs w:val="14"/>
          <w:color w:val="auto"/>
        </w:rPr>
        <w:t>The trading market for our common stock relies,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if one or more of the analysts covering our business</w:t>
      </w:r>
    </w:p>
    <w:p>
      <w:pPr>
        <w:spacing w:after="0" w:line="8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0159"/>
          </w:cols>
          <w:pgMar w:left="300" w:top="415"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219"/>
        <w:spacing w:after="0" w:line="263" w:lineRule="auto"/>
        <w:rPr>
          <w:sz w:val="20"/>
          <w:szCs w:val="20"/>
          <w:color w:val="auto"/>
        </w:rPr>
      </w:pPr>
      <w:r>
        <w:rPr>
          <w:rFonts w:ascii="Arial" w:cs="Arial" w:eastAsia="Arial" w:hAnsi="Arial"/>
          <w:sz w:val="14"/>
          <w:szCs w:val="14"/>
          <w:color w:val="auto"/>
        </w:rPr>
        <w:t>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General Risk Factors</w:t>
      </w:r>
    </w:p>
    <w:p>
      <w:pPr>
        <w:spacing w:after="0" w:line="90" w:lineRule="exact"/>
        <w:rPr>
          <w:sz w:val="20"/>
          <w:szCs w:val="20"/>
          <w:color w:val="auto"/>
        </w:rPr>
      </w:pPr>
    </w:p>
    <w:p>
      <w:pPr>
        <w:ind w:left="1220" w:right="439"/>
        <w:spacing w:after="0" w:line="294" w:lineRule="auto"/>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stock price, and results of operations.</w:t>
      </w:r>
    </w:p>
    <w:p>
      <w:pPr>
        <w:spacing w:after="0" w:line="15"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The global credit and financial markets have in recent years experienced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terrorism, or other geopolitical events. Sanctions imposed by the United States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w:t>
      </w:r>
    </w:p>
    <w:p>
      <w:pPr>
        <w:spacing w:after="0" w:line="146" w:lineRule="exact"/>
        <w:rPr>
          <w:sz w:val="20"/>
          <w:szCs w:val="20"/>
          <w:color w:val="auto"/>
        </w:rPr>
      </w:pPr>
    </w:p>
    <w:p>
      <w:pPr>
        <w:ind w:left="1220" w:right="199" w:firstLine="353"/>
        <w:spacing w:after="0" w:line="250" w:lineRule="auto"/>
        <w:rPr>
          <w:sz w:val="20"/>
          <w:szCs w:val="20"/>
          <w:color w:val="auto"/>
        </w:rPr>
      </w:pPr>
      <w:r>
        <w:rPr>
          <w:rFonts w:ascii="Arial" w:cs="Arial" w:eastAsia="Arial" w:hAnsi="Arial"/>
          <w:sz w:val="14"/>
          <w:szCs w:val="14"/>
          <w:color w:val="auto"/>
        </w:rPr>
        <w:t>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Changes in tax laws or in their interpretation could adversely affect our business and financial condition.</w:t>
      </w:r>
    </w:p>
    <w:p>
      <w:pPr>
        <w:spacing w:after="0" w:line="86" w:lineRule="exact"/>
        <w:rPr>
          <w:sz w:val="20"/>
          <w:szCs w:val="20"/>
          <w:color w:val="auto"/>
        </w:rPr>
      </w:pPr>
    </w:p>
    <w:p>
      <w:pPr>
        <w:ind w:left="1220" w:right="119" w:firstLine="353"/>
        <w:spacing w:after="0" w:line="246" w:lineRule="auto"/>
        <w:rPr>
          <w:sz w:val="20"/>
          <w:szCs w:val="20"/>
          <w:color w:val="auto"/>
        </w:rPr>
      </w:pPr>
      <w:r>
        <w:rPr>
          <w:rFonts w:ascii="Arial" w:cs="Arial" w:eastAsia="Arial" w:hAnsi="Arial"/>
          <w:sz w:val="14"/>
          <w:szCs w:val="14"/>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a de minimis exception.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w:t>
      </w:r>
    </w:p>
    <w:p>
      <w:pPr>
        <w:spacing w:after="0" w:line="143" w:lineRule="exact"/>
        <w:rPr>
          <w:sz w:val="20"/>
          <w:szCs w:val="20"/>
          <w:color w:val="auto"/>
        </w:rPr>
      </w:pPr>
    </w:p>
    <w:p>
      <w:pPr>
        <w:ind w:left="1220" w:right="359" w:firstLine="353"/>
        <w:spacing w:after="0" w:line="256" w:lineRule="auto"/>
        <w:rPr>
          <w:sz w:val="20"/>
          <w:szCs w:val="20"/>
          <w:color w:val="auto"/>
        </w:rPr>
      </w:pPr>
      <w:r>
        <w:rPr>
          <w:rFonts w:ascii="Arial" w:cs="Arial" w:eastAsia="Arial" w:hAnsi="Arial"/>
          <w:sz w:val="14"/>
          <w:szCs w:val="14"/>
          <w:color w:val="auto"/>
        </w:rPr>
        <w:t>Regulatory guidance under the IRA, the OBBBA and additional legislation is and continues to be forthcoming, and such guidance could ultimately increase or lessen the impact of these laws on our business and financial condition. Congress may enact additional legislation, some of which could have an impact on our company. In addition, it is uncertain if and to what extent various states will conform to such legislation.</w:t>
      </w:r>
    </w:p>
    <w:p>
      <w:pPr>
        <w:spacing w:after="0" w:line="224" w:lineRule="exact"/>
        <w:rPr>
          <w:sz w:val="20"/>
          <w:szCs w:val="20"/>
          <w:color w:val="auto"/>
        </w:rPr>
      </w:pPr>
    </w:p>
    <w:p>
      <w:pPr>
        <w:ind w:left="1220" w:right="159"/>
        <w:spacing w:after="0" w:line="294" w:lineRule="auto"/>
        <w:rPr>
          <w:sz w:val="20"/>
          <w:szCs w:val="20"/>
          <w:color w:val="auto"/>
        </w:rPr>
      </w:pPr>
      <w:r>
        <w:rPr>
          <w:rFonts w:ascii="Arial" w:cs="Arial" w:eastAsia="Arial" w:hAnsi="Arial"/>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15" w:lineRule="exact"/>
        <w:rPr>
          <w:sz w:val="20"/>
          <w:szCs w:val="20"/>
          <w:color w:val="auto"/>
        </w:rPr>
      </w:pPr>
    </w:p>
    <w:p>
      <w:pPr>
        <w:ind w:left="1220" w:right="99" w:firstLine="353"/>
        <w:spacing w:after="0" w:line="247" w:lineRule="auto"/>
        <w:rPr>
          <w:sz w:val="20"/>
          <w:szCs w:val="20"/>
          <w:color w:val="auto"/>
        </w:rPr>
      </w:pPr>
      <w:r>
        <w:rPr>
          <w:rFonts w:ascii="Arial" w:cs="Arial" w:eastAsia="Arial" w:hAnsi="Arial"/>
          <w:sz w:val="14"/>
          <w:szCs w:val="14"/>
          <w:color w:val="auto"/>
        </w:rPr>
        <w:t>From time to time, we may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In the past, securities class action litigation has often followed certain significant business transactions, such as the sale of a company or announcement of any other strategic transaction, the announcement of negative events, such as negative results from clinical trials, or periods of volatility in the market price of a company’s securities.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0159"/>
          </w:cols>
          <w:pgMar w:left="300" w:top="415"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5" w:lineRule="exact"/>
        <w:rPr>
          <w:sz w:val="20"/>
          <w:szCs w:val="20"/>
          <w:color w:val="auto"/>
        </w:rPr>
      </w:pPr>
    </w:p>
    <w:p>
      <w:pPr>
        <w:ind w:left="1220" w:right="259"/>
        <w:spacing w:after="0" w:line="294" w:lineRule="auto"/>
        <w:rPr>
          <w:sz w:val="20"/>
          <w:szCs w:val="20"/>
          <w:color w:val="auto"/>
        </w:rPr>
      </w:pPr>
      <w:r>
        <w:rPr>
          <w:rFonts w:ascii="Arial" w:cs="Arial" w:eastAsia="Arial" w:hAnsi="Arial"/>
          <w:sz w:val="14"/>
          <w:szCs w:val="14"/>
          <w:b w:val="1"/>
          <w:bCs w:val="1"/>
          <w:i w:val="1"/>
          <w:iCs w:val="1"/>
          <w:color w:val="auto"/>
        </w:rPr>
        <w:t>Our insurance policies are expensive and only protect us from some business risks, which will leave us exposed to significant uninsured liabilities.</w:t>
      </w:r>
    </w:p>
    <w:p>
      <w:pPr>
        <w:spacing w:after="0" w:line="15" w:lineRule="exact"/>
        <w:rPr>
          <w:sz w:val="20"/>
          <w:szCs w:val="20"/>
          <w:color w:val="auto"/>
        </w:rPr>
      </w:pPr>
    </w:p>
    <w:p>
      <w:pPr>
        <w:ind w:left="1220" w:right="179" w:firstLine="353"/>
        <w:spacing w:after="0" w:line="248" w:lineRule="auto"/>
        <w:rPr>
          <w:sz w:val="20"/>
          <w:szCs w:val="20"/>
          <w:color w:val="auto"/>
        </w:rPr>
      </w:pPr>
      <w:r>
        <w:rPr>
          <w:rFonts w:ascii="Arial" w:cs="Arial" w:eastAsia="Arial" w:hAnsi="Arial"/>
          <w:sz w:val="14"/>
          <w:szCs w:val="14"/>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Some of the policies we currently maintain include property, general liability, crime insurance, workers’ compensation, and directors’ and officers’, employment practices and fiduciary liability insurance, clinical trial insurance, transportation insurance and umbrella insurance. We do not know, however, if we will be able to maintain insurance with adequate levels of coverage. Changes in the market conditions and our business operations may necessitate the addition of new insurance policies or change of our existing insurance policies. Any significant uninsured liability may require us to pay substantial amounts, which would adversely affect our financial position and results of operations.</w:t>
      </w:r>
    </w:p>
    <w:p>
      <w:pPr>
        <w:spacing w:after="0" w:line="141" w:lineRule="exact"/>
        <w:rPr>
          <w:sz w:val="20"/>
          <w:szCs w:val="20"/>
          <w:color w:val="auto"/>
        </w:rPr>
      </w:pPr>
    </w:p>
    <w:p>
      <w:pPr>
        <w:ind w:left="1220" w:right="99" w:firstLine="353"/>
        <w:spacing w:after="0" w:line="252" w:lineRule="auto"/>
        <w:rPr>
          <w:sz w:val="20"/>
          <w:szCs w:val="20"/>
          <w:color w:val="auto"/>
        </w:rPr>
      </w:pPr>
      <w:r>
        <w:rPr>
          <w:rFonts w:ascii="Arial" w:cs="Arial" w:eastAsia="Arial" w:hAnsi="Arial"/>
          <w:sz w:val="14"/>
          <w:szCs w:val="14"/>
          <w:color w:val="auto"/>
        </w:rPr>
        <w:t>Operating as a U.S. public company makes it more difficult and more expensive for us to obtain director and officer liability insurance, and in the future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w:t>
      </w:r>
    </w:p>
    <w:p>
      <w:pPr>
        <w:spacing w:after="0" w:line="139" w:lineRule="exact"/>
        <w:rPr>
          <w:sz w:val="20"/>
          <w:szCs w:val="20"/>
          <w:color w:val="auto"/>
        </w:rPr>
      </w:pPr>
    </w:p>
    <w:p>
      <w:pPr>
        <w:ind w:left="1220" w:right="339" w:firstLine="353"/>
        <w:spacing w:after="0" w:line="285" w:lineRule="auto"/>
        <w:rPr>
          <w:sz w:val="20"/>
          <w:szCs w:val="20"/>
          <w:color w:val="auto"/>
        </w:rPr>
      </w:pPr>
      <w:r>
        <w:rPr>
          <w:rFonts w:ascii="Arial" w:cs="Arial" w:eastAsia="Arial" w:hAnsi="Arial"/>
          <w:sz w:val="14"/>
          <w:szCs w:val="14"/>
          <w:color w:val="auto"/>
        </w:rPr>
        <w:t>Any significant uninsured liability may require us to pay substantial amounts, which would negatively affect our business, financial condition and results of operations.</w:t>
      </w:r>
    </w:p>
    <w:p>
      <w:pPr>
        <w:spacing w:after="0" w:line="204" w:lineRule="exact"/>
        <w:rPr>
          <w:sz w:val="20"/>
          <w:szCs w:val="20"/>
          <w:color w:val="auto"/>
        </w:rPr>
      </w:pPr>
    </w:p>
    <w:p>
      <w:pPr>
        <w:ind w:left="1220" w:right="379"/>
        <w:spacing w:after="0" w:line="294" w:lineRule="auto"/>
        <w:rPr>
          <w:sz w:val="20"/>
          <w:szCs w:val="20"/>
          <w:color w:val="auto"/>
        </w:rPr>
      </w:pPr>
      <w:r>
        <w:rPr>
          <w:rFonts w:ascii="Arial" w:cs="Arial" w:eastAsia="Arial" w:hAnsi="Arial"/>
          <w:sz w:val="14"/>
          <w:szCs w:val="14"/>
          <w:b w:val="1"/>
          <w:bCs w:val="1"/>
          <w:i w:val="1"/>
          <w:iCs w:val="1"/>
          <w:color w:val="auto"/>
        </w:rPr>
        <w:t>Our operations are vulnerable to interruption by disasters, terrorist activity, pandemics and other events beyond our control, which could harm our business.</w:t>
      </w:r>
    </w:p>
    <w:p>
      <w:pPr>
        <w:spacing w:after="0" w:line="15" w:lineRule="exact"/>
        <w:rPr>
          <w:sz w:val="20"/>
          <w:szCs w:val="20"/>
          <w:color w:val="auto"/>
        </w:rPr>
      </w:pPr>
    </w:p>
    <w:p>
      <w:pPr>
        <w:ind w:left="1220" w:right="159" w:firstLine="353"/>
        <w:spacing w:after="0" w:line="250" w:lineRule="auto"/>
        <w:rPr>
          <w:sz w:val="20"/>
          <w:szCs w:val="20"/>
          <w:color w:val="auto"/>
        </w:rPr>
      </w:pPr>
      <w:r>
        <w:rPr>
          <w:rFonts w:ascii="Arial" w:cs="Arial" w:eastAsia="Arial" w:hAnsi="Arial"/>
          <w:sz w:val="14"/>
          <w:szCs w:val="14"/>
          <w:color w:val="auto"/>
        </w:rPr>
        <w:t>Our main facilities are located in Cambridge, Massachusetts and Copenhagen, Denmark.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8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0159"/>
          </w:cols>
          <w:pgMar w:left="300" w:top="415"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2. Unregistered Sales of Equity Securities.</w:t>
      </w:r>
    </w:p>
    <w:p>
      <w:pPr>
        <w:spacing w:after="0" w:line="90" w:lineRule="exact"/>
        <w:rPr>
          <w:sz w:val="20"/>
          <w:szCs w:val="20"/>
          <w:color w:val="auto"/>
        </w:rPr>
      </w:pPr>
    </w:p>
    <w:p>
      <w:pPr>
        <w:ind w:left="1220" w:right="5499" w:firstLine="9"/>
        <w:spacing w:after="0" w:line="369" w:lineRule="auto"/>
        <w:tabs>
          <w:tab w:leader="none" w:pos="1436" w:val="left"/>
        </w:tabs>
        <w:numPr>
          <w:ilvl w:val="0"/>
          <w:numId w:val="5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Recent Sales of Unregistered Equity Securities </w:t>
      </w:r>
      <w:r>
        <w:rPr>
          <w:rFonts w:ascii="Arial" w:cs="Arial" w:eastAsia="Arial" w:hAnsi="Arial"/>
          <w:sz w:val="14"/>
          <w:szCs w:val="14"/>
          <w:b w:val="1"/>
          <w:bCs w:val="1"/>
          <w:color w:val="auto"/>
        </w:rPr>
        <w:t>Issuances of Share Capital</w:t>
      </w:r>
    </w:p>
    <w:p>
      <w:pPr>
        <w:spacing w:after="0" w:line="1" w:lineRule="exact"/>
        <w:rPr>
          <w:sz w:val="20"/>
          <w:szCs w:val="20"/>
          <w:color w:val="auto"/>
        </w:rPr>
      </w:pPr>
    </w:p>
    <w:p>
      <w:pPr>
        <w:ind w:left="1220" w:right="139" w:firstLine="353"/>
        <w:spacing w:after="0" w:line="256" w:lineRule="auto"/>
        <w:rPr>
          <w:sz w:val="20"/>
          <w:szCs w:val="20"/>
          <w:color w:val="auto"/>
        </w:rPr>
      </w:pPr>
      <w:r>
        <w:rPr>
          <w:rFonts w:ascii="Arial" w:cs="Arial" w:eastAsia="Arial" w:hAnsi="Arial"/>
          <w:sz w:val="14"/>
          <w:szCs w:val="14"/>
          <w:color w:val="auto"/>
        </w:rPr>
        <w:t>On March 30, 2026, in connection with the corporate reorganization, we issued 23,343 shares of Series Seed Preferred Stock, 225,866 shares of Series A Preferred Stock, 442,205 shares of Series B Preferred Stock, 512,991 shares of Series C Preferred Stock and 946,000 shares of common stock, to the then-existing shareholders of Hemab ApS in exchange for the same number and class of shares of Hemab ApS. No cash consideration was paid in connection with the corporate reorganization.</w:t>
      </w:r>
    </w:p>
    <w:p>
      <w:pPr>
        <w:spacing w:after="0" w:line="135" w:lineRule="exact"/>
        <w:rPr>
          <w:sz w:val="20"/>
          <w:szCs w:val="20"/>
          <w:color w:val="auto"/>
        </w:rPr>
      </w:pPr>
    </w:p>
    <w:p>
      <w:pPr>
        <w:ind w:left="1220" w:right="99"/>
        <w:spacing w:after="0" w:line="249" w:lineRule="auto"/>
        <w:rPr>
          <w:sz w:val="20"/>
          <w:szCs w:val="20"/>
          <w:color w:val="auto"/>
        </w:rPr>
      </w:pPr>
      <w:r>
        <w:rPr>
          <w:rFonts w:ascii="Arial" w:cs="Arial" w:eastAsia="Arial" w:hAnsi="Arial"/>
          <w:sz w:val="14"/>
          <w:szCs w:val="14"/>
          <w:color w:val="auto"/>
        </w:rPr>
        <w:t>No underwriters were involved in the foregoing issuances of securities. The securities described above were issued to investors in reliance upon the exemption from the registration requirements of the Securities Act, as set forth in Section 4(a)(2) under the Securities Act and, in certain cases, Regulation D thereunder relative to transactions by an issuer not involving any public offering, or pursuant to Regulation S thereunder in that offers, sales and issuances were not made to persons in the United States and no directed selling efforts were made in the United States, to the extent an exemption from such registration was required. All purchasers received written disclosures that the securities had not been registered under the Securities Act and that any resale must be made pursuant to a registration statement or an available exemption from such registration.</w:t>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Equity Grants</w:t>
      </w:r>
    </w:p>
    <w:p>
      <w:pPr>
        <w:spacing w:after="0" w:line="88" w:lineRule="exact"/>
        <w:rPr>
          <w:sz w:val="20"/>
          <w:szCs w:val="20"/>
          <w:color w:val="auto"/>
        </w:rPr>
      </w:pPr>
    </w:p>
    <w:p>
      <w:pPr>
        <w:ind w:left="1220" w:right="379" w:firstLine="353"/>
        <w:spacing w:after="0" w:line="285" w:lineRule="auto"/>
        <w:rPr>
          <w:sz w:val="20"/>
          <w:szCs w:val="20"/>
          <w:color w:val="auto"/>
        </w:rPr>
      </w:pPr>
      <w:r>
        <w:rPr>
          <w:rFonts w:ascii="Arial" w:cs="Arial" w:eastAsia="Arial" w:hAnsi="Arial"/>
          <w:sz w:val="14"/>
          <w:szCs w:val="14"/>
          <w:color w:val="auto"/>
        </w:rPr>
        <w:t>From January 4, 2026 to February 16, 2026, Hemab ApS granted to certain of its employees, directors, advisors and consultants warrants to subscribe for an aggregate of 2,294,798 ordinary shares at an exercise price of $6.00.</w:t>
      </w:r>
    </w:p>
    <w:p>
      <w:pPr>
        <w:spacing w:after="0" w:line="115" w:lineRule="exact"/>
        <w:rPr>
          <w:sz w:val="20"/>
          <w:szCs w:val="20"/>
          <w:color w:val="auto"/>
        </w:rPr>
      </w:pPr>
    </w:p>
    <w:p>
      <w:pPr>
        <w:ind w:left="1220" w:right="179" w:firstLine="353"/>
        <w:spacing w:after="0" w:line="249" w:lineRule="auto"/>
        <w:rPr>
          <w:sz w:val="20"/>
          <w:szCs w:val="20"/>
          <w:color w:val="auto"/>
        </w:rPr>
      </w:pPr>
      <w:r>
        <w:rPr>
          <w:rFonts w:ascii="Arial" w:cs="Arial" w:eastAsia="Arial" w:hAnsi="Arial"/>
          <w:sz w:val="14"/>
          <w:szCs w:val="14"/>
          <w:color w:val="auto"/>
        </w:rPr>
        <w:t>On March 30, 2026, in connection with the corporate reorganization, each outstanding warrant to subscribe for the purchase of ordinary shares of Hemab ApS was assumed by Hemab Therapeutics Holdings, Inc. and converted into a warrant to purchase the same number of shares of common stock of Hemab Therapeutics Holdings, Inc. As a result, following the corporate reorganization, warrants for the subscription of an aggregate of 4,372,742 shares of our common stock were outstanding. Any warrant exercise price that had been denominated in DKK prior to the corporate reorganization was converted into an exercise price in U.S. dollars at the exchange rate as in effect at the close of business on the business day prior to the corporate reorganization. These warrants become exercisable upon the schedule specified in the applicable warrant agreement.</w:t>
      </w:r>
    </w:p>
    <w:p>
      <w:pPr>
        <w:spacing w:after="0" w:line="140" w:lineRule="exact"/>
        <w:rPr>
          <w:sz w:val="20"/>
          <w:szCs w:val="20"/>
          <w:color w:val="auto"/>
        </w:rPr>
      </w:pPr>
    </w:p>
    <w:p>
      <w:pPr>
        <w:ind w:left="1220" w:right="199" w:firstLine="353"/>
        <w:spacing w:after="0" w:line="263" w:lineRule="auto"/>
        <w:rPr>
          <w:sz w:val="20"/>
          <w:szCs w:val="20"/>
          <w:color w:val="auto"/>
        </w:rPr>
      </w:pPr>
      <w:r>
        <w:rPr>
          <w:rFonts w:ascii="Arial" w:cs="Arial" w:eastAsia="Arial" w:hAnsi="Arial"/>
          <w:sz w:val="14"/>
          <w:szCs w:val="14"/>
          <w:color w:val="auto"/>
        </w:rPr>
        <w:t>On April 23, 2026, we granted stock options to purchase an aggregate of 306,900 shares of common stock, at an exercise price per share equal to the initial public offering price, effective upon the pricing of the IPO. These stock options become exercisable upon the schedule specified in the applicable option agreement.</w:t>
      </w:r>
    </w:p>
    <w:p>
      <w:pPr>
        <w:spacing w:after="0" w:line="131" w:lineRule="exact"/>
        <w:rPr>
          <w:sz w:val="20"/>
          <w:szCs w:val="20"/>
          <w:color w:val="auto"/>
        </w:rPr>
      </w:pPr>
    </w:p>
    <w:p>
      <w:pPr>
        <w:ind w:left="1220" w:right="159" w:firstLine="353"/>
        <w:spacing w:after="0" w:line="249" w:lineRule="auto"/>
        <w:rPr>
          <w:sz w:val="20"/>
          <w:szCs w:val="20"/>
          <w:color w:val="auto"/>
        </w:rPr>
      </w:pPr>
      <w:r>
        <w:rPr>
          <w:rFonts w:ascii="Arial" w:cs="Arial" w:eastAsia="Arial" w:hAnsi="Arial"/>
          <w:sz w:val="14"/>
          <w:szCs w:val="14"/>
          <w:color w:val="auto"/>
        </w:rPr>
        <w:t>The securities described above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or pursuant to Regulation S thereunder in that offers, sales and issuances were not made to persons in the United States and no directed selling efforts were made in the United States,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40" w:lineRule="exact"/>
        <w:rPr>
          <w:sz w:val="20"/>
          <w:szCs w:val="20"/>
          <w:color w:val="auto"/>
        </w:rPr>
      </w:pPr>
    </w:p>
    <w:p>
      <w:pPr>
        <w:ind w:left="1220" w:right="279" w:firstLine="353"/>
        <w:spacing w:after="0" w:line="263" w:lineRule="auto"/>
        <w:rPr>
          <w:sz w:val="20"/>
          <w:szCs w:val="20"/>
          <w:color w:val="auto"/>
        </w:rPr>
      </w:pPr>
      <w:r>
        <w:rPr>
          <w:rFonts w:ascii="Arial" w:cs="Arial" w:eastAsia="Arial" w:hAnsi="Arial"/>
          <w:sz w:val="14"/>
          <w:szCs w:val="14"/>
          <w:color w:val="auto"/>
        </w:rPr>
        <w:t>On May 1, 2026, we filed a registration statement on Form S-8 under the Securities Act to register all of the shares of our common stock subject to outstanding options and warrants and all shares of our common stock otherwise issuable pursuant to our equity compensation plans.</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Issuances of Common Stock upon Conversion of Preferred Stock</w:t>
      </w:r>
    </w:p>
    <w:p>
      <w:pPr>
        <w:spacing w:after="0" w:line="88" w:lineRule="exact"/>
        <w:rPr>
          <w:sz w:val="20"/>
          <w:szCs w:val="20"/>
          <w:color w:val="auto"/>
        </w:rPr>
      </w:pPr>
    </w:p>
    <w:p>
      <w:pPr>
        <w:ind w:left="1220" w:right="199" w:firstLine="353"/>
        <w:spacing w:after="0" w:line="263" w:lineRule="auto"/>
        <w:rPr>
          <w:sz w:val="20"/>
          <w:szCs w:val="20"/>
          <w:color w:val="auto"/>
        </w:rPr>
      </w:pPr>
      <w:r>
        <w:rPr>
          <w:rFonts w:ascii="Arial" w:cs="Arial" w:eastAsia="Arial" w:hAnsi="Arial"/>
          <w:sz w:val="14"/>
          <w:szCs w:val="14"/>
          <w:color w:val="auto"/>
        </w:rPr>
        <w:t>On May 4, 2026, in connection with the closing of our IPO, all of our outstanding shares of preferred stock were converted into an aggregate of 26,496,910 shares of common stock. The conversion of preferred stock into common stock occurred in accordance with the terms of our certificate of incorporation and did not constitute a sale for purposes of the Securities Act.</w:t>
      </w:r>
    </w:p>
    <w:p>
      <w:pPr>
        <w:spacing w:after="0" w:line="219" w:lineRule="exact"/>
        <w:rPr>
          <w:sz w:val="20"/>
          <w:szCs w:val="20"/>
          <w:color w:val="auto"/>
        </w:rPr>
      </w:pPr>
    </w:p>
    <w:p>
      <w:pPr>
        <w:ind w:left="1220"/>
        <w:spacing w:after="0"/>
        <w:rPr>
          <w:sz w:val="20"/>
          <w:szCs w:val="20"/>
          <w:color w:val="auto"/>
        </w:rPr>
      </w:pPr>
      <w:r>
        <w:rPr>
          <w:rFonts w:ascii="Arial" w:cs="Arial" w:eastAsia="Arial" w:hAnsi="Arial"/>
          <w:sz w:val="14"/>
          <w:szCs w:val="14"/>
          <w:b w:val="1"/>
          <w:bCs w:val="1"/>
          <w:i w:val="1"/>
          <w:iCs w:val="1"/>
          <w:color w:val="auto"/>
        </w:rPr>
        <w:t>(b) Use of Proceeds from IPO</w:t>
      </w:r>
    </w:p>
    <w:p>
      <w:pPr>
        <w:spacing w:after="0" w:line="86" w:lineRule="exact"/>
        <w:rPr>
          <w:sz w:val="20"/>
          <w:szCs w:val="20"/>
          <w:color w:val="auto"/>
        </w:rPr>
      </w:pPr>
    </w:p>
    <w:p>
      <w:pPr>
        <w:ind w:left="1220" w:right="439" w:firstLine="353"/>
        <w:spacing w:after="0" w:line="263" w:lineRule="auto"/>
        <w:rPr>
          <w:sz w:val="20"/>
          <w:szCs w:val="20"/>
          <w:color w:val="auto"/>
        </w:rPr>
      </w:pPr>
      <w:r>
        <w:rPr>
          <w:rFonts w:ascii="Arial" w:cs="Arial" w:eastAsia="Arial" w:hAnsi="Arial"/>
          <w:sz w:val="14"/>
          <w:szCs w:val="14"/>
          <w:color w:val="auto"/>
        </w:rPr>
        <w:t>On May 4, 2026, we closed our IPO, pursuant to which we issued and sold 19,262,500 shares of our common stock, including 2,512,500 shares sold by us pursuant to the full exercise of the underwriters’ option to purchase additional shares, at a public offering price of $18.00 per share for aggregate gross proceeds of approximately $346.7 million.</w:t>
      </w:r>
    </w:p>
    <w:p>
      <w:pPr>
        <w:spacing w:after="0" w:line="131" w:lineRule="exact"/>
        <w:rPr>
          <w:sz w:val="20"/>
          <w:szCs w:val="20"/>
          <w:color w:val="auto"/>
        </w:rPr>
      </w:pPr>
    </w:p>
    <w:p>
      <w:pPr>
        <w:jc w:val="both"/>
        <w:ind w:left="1220" w:right="279" w:firstLine="353"/>
        <w:spacing w:after="0" w:line="256" w:lineRule="auto"/>
        <w:rPr>
          <w:sz w:val="20"/>
          <w:szCs w:val="20"/>
          <w:color w:val="auto"/>
        </w:rPr>
      </w:pPr>
      <w:r>
        <w:rPr>
          <w:rFonts w:ascii="Arial" w:cs="Arial" w:eastAsia="Arial" w:hAnsi="Arial"/>
          <w:sz w:val="14"/>
          <w:szCs w:val="14"/>
          <w:color w:val="auto"/>
        </w:rPr>
        <w:t>All of the shares of common stock issued and sold in the IPO were registered under the Securities Act pursuant to a Registration Statement on Form S-1 (File No. 333-294989), which was declared effective by the SEC on April 30, 2026. Goldman Sachs &amp; Co. LLC, Jefferies LLC, and Evercore Group L.L.C. acted as joint book-running managers for the IPO, and Wedbush Securities Inc. acted as lead manager for the IPO. The offering commenced on April 30, 2026 and did not terminate until the sale of all of the shares offered.</w:t>
      </w:r>
    </w:p>
    <w:p>
      <w:pPr>
        <w:spacing w:after="0" w:line="8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0159"/>
          </w:cols>
          <w:pgMar w:left="300" w:top="415"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right="179" w:firstLine="353"/>
        <w:spacing w:after="0" w:line="256" w:lineRule="auto"/>
        <w:rPr>
          <w:sz w:val="20"/>
          <w:szCs w:val="20"/>
          <w:color w:val="auto"/>
        </w:rPr>
      </w:pPr>
      <w:r>
        <w:rPr>
          <w:rFonts w:ascii="Arial" w:cs="Arial" w:eastAsia="Arial" w:hAnsi="Arial"/>
          <w:sz w:val="14"/>
          <w:szCs w:val="14"/>
          <w:color w:val="auto"/>
        </w:rPr>
        <w:t>We received aggregate net proceeds from the IPO of approximately $317.2 million, after deducting underwriting discounts and commissions and other offering expenses payable by us. None of the underwriting discounts and commissions or offering expenses were paid directly or indirectly to any of our directors or officers or their associates or to persons owning ten percent or more of any class of our equity securities or to any of our affiliates.</w:t>
      </w:r>
    </w:p>
    <w:p>
      <w:pPr>
        <w:spacing w:after="0" w:line="135" w:lineRule="exact"/>
        <w:rPr>
          <w:sz w:val="20"/>
          <w:szCs w:val="20"/>
          <w:color w:val="auto"/>
        </w:rPr>
      </w:pPr>
    </w:p>
    <w:p>
      <w:pPr>
        <w:ind w:left="1220" w:right="119" w:firstLine="353"/>
        <w:spacing w:after="0" w:line="263" w:lineRule="auto"/>
        <w:rPr>
          <w:sz w:val="20"/>
          <w:szCs w:val="20"/>
          <w:color w:val="auto"/>
        </w:rPr>
      </w:pPr>
      <w:r>
        <w:rPr>
          <w:rFonts w:ascii="Arial" w:cs="Arial" w:eastAsia="Arial" w:hAnsi="Arial"/>
          <w:sz w:val="14"/>
          <w:szCs w:val="14"/>
          <w:color w:val="auto"/>
        </w:rPr>
        <w:t>As of March 31, 2026, we had not used any of the net proceeds from the IPO because the IPO closed on May 4, 2026. There has been no material change in our planned use of proceeds from the IPO as described in the final prospectus filed pursuant to Rule 424(b)(4) under the Securities Act with the SEC on May 1, 2026.</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Not Applicable.</w:t>
      </w:r>
    </w:p>
    <w:p>
      <w:pPr>
        <w:spacing w:after="0" w:line="261"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4. Mine Safety Disclosures.</w:t>
      </w:r>
    </w:p>
    <w:p>
      <w:pPr>
        <w:spacing w:after="0" w:line="88"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Not Applicable.</w:t>
      </w:r>
    </w:p>
    <w:p>
      <w:pPr>
        <w:spacing w:after="0" w:line="261"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5. Other Information.</w:t>
      </w:r>
    </w:p>
    <w:p>
      <w:pPr>
        <w:spacing w:after="0" w:line="88"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Director and Officer Trading Arrangements</w:t>
      </w:r>
    </w:p>
    <w:p>
      <w:pPr>
        <w:spacing w:after="0" w:line="88" w:lineRule="exact"/>
        <w:rPr>
          <w:sz w:val="20"/>
          <w:szCs w:val="20"/>
          <w:color w:val="auto"/>
        </w:rPr>
      </w:pPr>
    </w:p>
    <w:p>
      <w:pPr>
        <w:jc w:val="both"/>
        <w:ind w:left="1220" w:right="319" w:firstLine="353"/>
        <w:spacing w:after="0" w:line="263" w:lineRule="auto"/>
        <w:rPr>
          <w:sz w:val="20"/>
          <w:szCs w:val="20"/>
          <w:color w:val="auto"/>
        </w:rPr>
      </w:pPr>
      <w:r>
        <w:rPr>
          <w:rFonts w:ascii="Arial" w:cs="Arial" w:eastAsia="Arial" w:hAnsi="Arial"/>
          <w:sz w:val="14"/>
          <w:szCs w:val="14"/>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quarterly period covered by this report.</w:t>
      </w:r>
    </w:p>
    <w:p>
      <w:pPr>
        <w:spacing w:after="0" w:line="77"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0159"/>
          </w:cols>
          <w:pgMar w:left="300" w:top="415"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Item 6. Exhibits.</w:t>
      </w:r>
    </w:p>
    <w:p>
      <w:pPr>
        <w:spacing w:after="0" w:line="194" w:lineRule="exact"/>
        <w:rPr>
          <w:sz w:val="20"/>
          <w:szCs w:val="20"/>
          <w:color w:val="auto"/>
        </w:rPr>
      </w:pPr>
    </w:p>
    <w:tbl>
      <w:tblPr>
        <w:tblLayout w:type="fixed"/>
        <w:tblInd w:w="1220" w:type="dxa"/>
        <w:tblCellMar>
          <w:top w:w="0" w:type="dxa"/>
          <w:left w:w="0" w:type="dxa"/>
          <w:bottom w:w="0" w:type="dxa"/>
          <w:right w:w="0" w:type="dxa"/>
        </w:tblCellMar>
      </w:tblPr>
      <w:tr>
        <w:trPr>
          <w:trHeight w:val="138"/>
        </w:trPr>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Exhibit</w:t>
            </w: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20" w:type="dxa"/>
            <w:vAlign w:val="bottom"/>
            <w:gridSpan w:val="17"/>
            <w:vMerge w:val="restart"/>
          </w:tcPr>
          <w:p>
            <w:pPr>
              <w:ind w:left="72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38"/>
        </w:trPr>
        <w:tc>
          <w:tcPr>
            <w:tcW w:w="4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w w:val="92"/>
              </w:rPr>
              <w:t>Number</w:t>
            </w:r>
          </w:p>
        </w:tc>
        <w:tc>
          <w:tcPr>
            <w:tcW w:w="4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020" w:type="dxa"/>
            <w:vAlign w:val="bottom"/>
            <w:tcBorders>
              <w:bottom w:val="single" w:sz="8" w:color="auto"/>
            </w:tcBorders>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900" w:type="dxa"/>
            <w:vAlign w:val="bottom"/>
            <w:gridSpan w:val="2"/>
          </w:tcPr>
          <w:p>
            <w:pPr>
              <w:spacing w:after="0"/>
              <w:rPr>
                <w:sz w:val="20"/>
                <w:szCs w:val="20"/>
                <w:color w:val="auto"/>
              </w:rPr>
            </w:pPr>
            <w:r>
              <w:rPr>
                <w:rFonts w:ascii="Arial" w:cs="Arial" w:eastAsia="Arial" w:hAnsi="Arial"/>
                <w:sz w:val="14"/>
                <w:szCs w:val="14"/>
                <w:color w:val="auto"/>
              </w:rPr>
              <w:t>    2.1</w:t>
            </w:r>
          </w:p>
        </w:tc>
        <w:tc>
          <w:tcPr>
            <w:tcW w:w="7960" w:type="dxa"/>
            <w:vAlign w:val="bottom"/>
            <w:gridSpan w:val="21"/>
          </w:tcPr>
          <w:p>
            <w:pPr>
              <w:spacing w:after="0"/>
              <w:rPr>
                <w:rFonts w:ascii="Arial" w:cs="Arial" w:eastAsia="Arial" w:hAnsi="Arial"/>
                <w:sz w:val="14"/>
                <w:szCs w:val="14"/>
                <w:color w:val="0000EE"/>
              </w:rPr>
            </w:pPr>
            <w:hyperlink r:id="rId125">
              <w:r>
                <w:rPr>
                  <w:rFonts w:ascii="Arial" w:cs="Arial" w:eastAsia="Arial" w:hAnsi="Arial"/>
                  <w:sz w:val="14"/>
                  <w:szCs w:val="14"/>
                  <w:color w:val="0000EE"/>
                </w:rPr>
                <w:t>Share Contribution and Exchange Agreement, dated March 30, 2026, by and between the registrant and the parties thereto</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60" w:type="dxa"/>
            <w:vAlign w:val="bottom"/>
            <w:tcBorders>
              <w:top w:val="single" w:sz="8" w:color="0000EE"/>
            </w:tcBorders>
            <w:gridSpan w:val="16"/>
          </w:tcPr>
          <w:p>
            <w:pPr>
              <w:spacing w:after="0" w:line="143" w:lineRule="exact"/>
              <w:rPr>
                <w:rFonts w:ascii="Arial" w:cs="Arial" w:eastAsia="Arial" w:hAnsi="Arial"/>
                <w:sz w:val="14"/>
                <w:szCs w:val="14"/>
                <w:color w:val="0000EE"/>
              </w:rPr>
            </w:pPr>
            <w:hyperlink r:id="rId125">
              <w:r>
                <w:rPr>
                  <w:rFonts w:ascii="Arial" w:cs="Arial" w:eastAsia="Arial" w:hAnsi="Arial"/>
                  <w:sz w:val="14"/>
                  <w:szCs w:val="14"/>
                  <w:color w:val="0000EE"/>
                </w:rPr>
                <w:t>(incorporated by reference to Exhibit 2.1 to the registrant’s Registration Statement on Form S-1 (File No. 333-294989) filed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20" w:type="dxa"/>
            <w:vAlign w:val="bottom"/>
            <w:tcBorders>
              <w:top w:val="single" w:sz="8" w:color="0000EE"/>
            </w:tcBorders>
            <w:gridSpan w:val="14"/>
          </w:tcPr>
          <w:p>
            <w:pPr>
              <w:spacing w:after="0" w:line="143" w:lineRule="exact"/>
              <w:rPr>
                <w:rFonts w:ascii="Arial" w:cs="Arial" w:eastAsia="Arial" w:hAnsi="Arial"/>
                <w:sz w:val="14"/>
                <w:szCs w:val="14"/>
                <w:color w:val="0000EE"/>
              </w:rPr>
            </w:pPr>
            <w:hyperlink r:id="rId125">
              <w:r>
                <w:rPr>
                  <w:rFonts w:ascii="Arial" w:cs="Arial" w:eastAsia="Arial" w:hAnsi="Arial"/>
                  <w:sz w:val="14"/>
                  <w:szCs w:val="14"/>
                  <w:color w:val="0000EE"/>
                </w:rPr>
                <w:t>with the Securities and Exchange Commission on April 10, 2026)</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3.1</w:t>
            </w:r>
          </w:p>
        </w:tc>
        <w:tc>
          <w:tcPr>
            <w:tcW w:w="7960" w:type="dxa"/>
            <w:vAlign w:val="bottom"/>
            <w:gridSpan w:val="21"/>
          </w:tcPr>
          <w:p>
            <w:pPr>
              <w:spacing w:after="0"/>
              <w:rPr>
                <w:rFonts w:ascii="Arial" w:cs="Arial" w:eastAsia="Arial" w:hAnsi="Arial"/>
                <w:sz w:val="14"/>
                <w:szCs w:val="14"/>
                <w:color w:val="0000EE"/>
              </w:rPr>
            </w:pPr>
            <w:hyperlink r:id="rId126">
              <w:r>
                <w:rPr>
                  <w:rFonts w:ascii="Arial" w:cs="Arial" w:eastAsia="Arial" w:hAnsi="Arial"/>
                  <w:sz w:val="14"/>
                  <w:szCs w:val="14"/>
                  <w:color w:val="0000EE"/>
                </w:rPr>
                <w:t>Restated Certificate of Incorporation of Hemab Therapeutics Holdings, Inc. (incorporated by reference to Exhibit 3.1 to the</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80" w:type="dxa"/>
            <w:vAlign w:val="bottom"/>
            <w:tcBorders>
              <w:top w:val="single" w:sz="8" w:color="0000EE"/>
              <w:bottom w:val="single" w:sz="8" w:color="0000EE"/>
            </w:tcBorders>
            <w:gridSpan w:val="12"/>
          </w:tcPr>
          <w:p>
            <w:pPr>
              <w:spacing w:after="0" w:line="143" w:lineRule="exact"/>
              <w:rPr>
                <w:rFonts w:ascii="Arial" w:cs="Arial" w:eastAsia="Arial" w:hAnsi="Arial"/>
                <w:sz w:val="14"/>
                <w:szCs w:val="14"/>
                <w:color w:val="0000EE"/>
              </w:rPr>
            </w:pPr>
            <w:hyperlink r:id="rId126">
              <w:r>
                <w:rPr>
                  <w:rFonts w:ascii="Arial" w:cs="Arial" w:eastAsia="Arial" w:hAnsi="Arial"/>
                  <w:sz w:val="14"/>
                  <w:szCs w:val="14"/>
                  <w:color w:val="0000EE"/>
                </w:rPr>
                <w:t>registrant’s Current Report on Form 8-K (File No. 001-43250) filed with the Securities and Exchange Commission on May</w:t>
              </w:r>
            </w:hyperlink>
          </w:p>
        </w:tc>
        <w:tc>
          <w:tcPr>
            <w:tcW w:w="100" w:type="dxa"/>
            <w:vAlign w:val="bottom"/>
            <w:tcBorders>
              <w:bottom w:val="single" w:sz="8" w:color="0000EE"/>
            </w:tcBorders>
            <w:gridSpan w:val="5"/>
          </w:tcPr>
          <w:p>
            <w:pPr>
              <w:jc w:val="right"/>
              <w:spacing w:after="0" w:line="143" w:lineRule="exact"/>
              <w:rPr>
                <w:rFonts w:ascii="Arial" w:cs="Arial" w:eastAsia="Arial" w:hAnsi="Arial"/>
                <w:sz w:val="13"/>
                <w:szCs w:val="13"/>
                <w:color w:val="0000EE"/>
                <w:w w:val="73"/>
              </w:rPr>
            </w:pPr>
            <w:hyperlink r:id="rId126">
              <w:r>
                <w:rPr>
                  <w:rFonts w:ascii="Arial" w:cs="Arial" w:eastAsia="Arial" w:hAnsi="Arial"/>
                  <w:sz w:val="13"/>
                  <w:szCs w:val="13"/>
                  <w:color w:val="0000EE"/>
                  <w:w w:val="73"/>
                </w:rPr>
                <w:t>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bottom w:val="single" w:sz="8" w:color="0000EE"/>
            </w:tcBorders>
          </w:tcPr>
          <w:p>
            <w:pPr>
              <w:spacing w:after="0" w:line="143" w:lineRule="exact"/>
              <w:rPr>
                <w:rFonts w:ascii="Arial" w:cs="Arial" w:eastAsia="Arial" w:hAnsi="Arial"/>
                <w:sz w:val="14"/>
                <w:szCs w:val="14"/>
                <w:color w:val="0000EE"/>
                <w:w w:val="94"/>
              </w:rPr>
            </w:pPr>
            <w:hyperlink r:id="rId126">
              <w:r>
                <w:rPr>
                  <w:rFonts w:ascii="Arial" w:cs="Arial" w:eastAsia="Arial" w:hAnsi="Arial"/>
                  <w:sz w:val="14"/>
                  <w:szCs w:val="14"/>
                  <w:color w:val="0000EE"/>
                  <w:w w:val="94"/>
                </w:rPr>
                <w:t>2026)</w:t>
              </w:r>
            </w:hyperlink>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3.2</w:t>
            </w:r>
          </w:p>
        </w:tc>
        <w:tc>
          <w:tcPr>
            <w:tcW w:w="7960" w:type="dxa"/>
            <w:vAlign w:val="bottom"/>
            <w:gridSpan w:val="21"/>
          </w:tcPr>
          <w:p>
            <w:pPr>
              <w:spacing w:after="0"/>
              <w:rPr>
                <w:rFonts w:ascii="Arial" w:cs="Arial" w:eastAsia="Arial" w:hAnsi="Arial"/>
                <w:sz w:val="14"/>
                <w:szCs w:val="14"/>
                <w:color w:val="0000EE"/>
              </w:rPr>
            </w:pPr>
            <w:hyperlink r:id="rId127">
              <w:r>
                <w:rPr>
                  <w:rFonts w:ascii="Arial" w:cs="Arial" w:eastAsia="Arial" w:hAnsi="Arial"/>
                  <w:sz w:val="14"/>
                  <w:szCs w:val="14"/>
                  <w:color w:val="0000EE"/>
                </w:rPr>
                <w:t>Amended and Restated Bylaws of Hemab Therapeutics Holdings, Inc. (incorporated by reference to Exhibit 3.2 to the</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60" w:type="dxa"/>
            <w:vAlign w:val="bottom"/>
            <w:tcBorders>
              <w:top w:val="single" w:sz="8" w:color="0000EE"/>
            </w:tcBorders>
            <w:gridSpan w:val="8"/>
          </w:tcPr>
          <w:p>
            <w:pPr>
              <w:spacing w:after="0" w:line="143" w:lineRule="exact"/>
              <w:rPr>
                <w:rFonts w:ascii="Arial" w:cs="Arial" w:eastAsia="Arial" w:hAnsi="Arial"/>
                <w:sz w:val="14"/>
                <w:szCs w:val="14"/>
                <w:color w:val="0000EE"/>
              </w:rPr>
            </w:pPr>
            <w:hyperlink r:id="rId127">
              <w:r>
                <w:rPr>
                  <w:rFonts w:ascii="Arial" w:cs="Arial" w:eastAsia="Arial" w:hAnsi="Arial"/>
                  <w:sz w:val="14"/>
                  <w:szCs w:val="14"/>
                  <w:color w:val="0000EE"/>
                </w:rPr>
                <w:t>registrant’s Current Report on Form 8-K (File No. 001-43250) filed with the Securities and Exchange Commission on</w:t>
              </w:r>
            </w:hyperlink>
          </w:p>
        </w:tc>
        <w:tc>
          <w:tcPr>
            <w:tcW w:w="500" w:type="dxa"/>
            <w:vAlign w:val="bottom"/>
            <w:gridSpan w:val="13"/>
          </w:tcPr>
          <w:p>
            <w:pPr>
              <w:jc w:val="right"/>
              <w:ind w:right="80"/>
              <w:spacing w:after="0" w:line="143" w:lineRule="exact"/>
              <w:rPr>
                <w:rFonts w:ascii="Arial" w:cs="Arial" w:eastAsia="Arial" w:hAnsi="Arial"/>
                <w:sz w:val="14"/>
                <w:szCs w:val="14"/>
                <w:color w:val="0000EE"/>
                <w:w w:val="95"/>
              </w:rPr>
            </w:pPr>
            <w:hyperlink r:id="rId127">
              <w:r>
                <w:rPr>
                  <w:rFonts w:ascii="Arial" w:cs="Arial" w:eastAsia="Arial" w:hAnsi="Arial"/>
                  <w:sz w:val="14"/>
                  <w:szCs w:val="14"/>
                  <w:color w:val="0000EE"/>
                  <w:w w:val="95"/>
                </w:rPr>
                <w:t>May 4,</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3" w:lineRule="exact"/>
              <w:rPr>
                <w:rFonts w:ascii="Arial" w:cs="Arial" w:eastAsia="Arial" w:hAnsi="Arial"/>
                <w:sz w:val="14"/>
                <w:szCs w:val="14"/>
                <w:color w:val="0000EE"/>
                <w:w w:val="94"/>
              </w:rPr>
            </w:pPr>
            <w:hyperlink r:id="rId127">
              <w:r>
                <w:rPr>
                  <w:rFonts w:ascii="Arial" w:cs="Arial" w:eastAsia="Arial" w:hAnsi="Arial"/>
                  <w:sz w:val="14"/>
                  <w:szCs w:val="14"/>
                  <w:color w:val="0000EE"/>
                  <w:w w:val="94"/>
                </w:rPr>
                <w:t>2026)</w:t>
              </w:r>
            </w:hyperlink>
          </w:p>
        </w:tc>
        <w:tc>
          <w:tcPr>
            <w:tcW w:w="78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0" w:type="dxa"/>
            <w:vAlign w:val="bottom"/>
            <w:tcBorders>
              <w:top w:val="single" w:sz="8" w:color="0000EE"/>
            </w:tcBorders>
          </w:tcPr>
          <w:p>
            <w:pPr>
              <w:spacing w:after="0"/>
              <w:rPr>
                <w:sz w:val="12"/>
                <w:szCs w:val="12"/>
                <w:color w:val="auto"/>
              </w:rPr>
            </w:pPr>
          </w:p>
        </w:tc>
        <w:tc>
          <w:tcPr>
            <w:tcW w:w="1740" w:type="dxa"/>
            <w:vAlign w:val="bottom"/>
            <w:tcBorders>
              <w:top w:val="single" w:sz="8" w:color="0000EE"/>
            </w:tcBorders>
          </w:tcPr>
          <w:p>
            <w:pPr>
              <w:spacing w:after="0"/>
              <w:rPr>
                <w:sz w:val="12"/>
                <w:szCs w:val="12"/>
                <w:color w:val="auto"/>
              </w:rPr>
            </w:pPr>
          </w:p>
        </w:tc>
        <w:tc>
          <w:tcPr>
            <w:tcW w:w="15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4.1</w:t>
            </w:r>
          </w:p>
        </w:tc>
        <w:tc>
          <w:tcPr>
            <w:tcW w:w="7960" w:type="dxa"/>
            <w:vAlign w:val="bottom"/>
            <w:gridSpan w:val="21"/>
          </w:tcPr>
          <w:p>
            <w:pPr>
              <w:spacing w:after="0"/>
              <w:rPr>
                <w:rFonts w:ascii="Arial" w:cs="Arial" w:eastAsia="Arial" w:hAnsi="Arial"/>
                <w:sz w:val="14"/>
                <w:szCs w:val="14"/>
                <w:color w:val="0000EE"/>
              </w:rPr>
            </w:pPr>
            <w:hyperlink r:id="rId128">
              <w:r>
                <w:rPr>
                  <w:rFonts w:ascii="Arial" w:cs="Arial" w:eastAsia="Arial" w:hAnsi="Arial"/>
                  <w:sz w:val="14"/>
                  <w:szCs w:val="14"/>
                  <w:color w:val="0000EE"/>
                </w:rPr>
                <w:t>Investors’ Rights Agreement, dated March 30, 2026, by and between the registrant and the parties thereto (incorporated by</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40" w:type="dxa"/>
            <w:vAlign w:val="bottom"/>
            <w:tcBorders>
              <w:top w:val="single" w:sz="8" w:color="0000EE"/>
              <w:bottom w:val="single" w:sz="8" w:color="0000EE"/>
            </w:tcBorders>
            <w:gridSpan w:val="15"/>
          </w:tcPr>
          <w:p>
            <w:pPr>
              <w:spacing w:after="0" w:line="143" w:lineRule="exact"/>
              <w:rPr>
                <w:rFonts w:ascii="Arial" w:cs="Arial" w:eastAsia="Arial" w:hAnsi="Arial"/>
                <w:sz w:val="14"/>
                <w:szCs w:val="14"/>
                <w:color w:val="0000EE"/>
              </w:rPr>
            </w:pPr>
            <w:hyperlink r:id="rId128">
              <w:r>
                <w:rPr>
                  <w:rFonts w:ascii="Arial" w:cs="Arial" w:eastAsia="Arial" w:hAnsi="Arial"/>
                  <w:sz w:val="14"/>
                  <w:szCs w:val="14"/>
                  <w:color w:val="0000EE"/>
                </w:rPr>
                <w:t>reference to Exhibit 4.3 to the registrant’s Registration Statement on Form S-1 (File No. 333-294989) filed with the Securities</w:t>
              </w:r>
            </w:hyperlink>
          </w:p>
        </w:tc>
        <w:tc>
          <w:tcPr>
            <w:tcW w:w="40" w:type="dxa"/>
            <w:vAlign w:val="bottom"/>
            <w:tcBorders>
              <w:bottom w:val="single" w:sz="8" w:color="0000EE"/>
            </w:tcBorders>
            <w:gridSpan w:val="2"/>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940" w:type="dxa"/>
            <w:vAlign w:val="bottom"/>
            <w:tcBorders>
              <w:bottom w:val="single" w:sz="8" w:color="0000EE"/>
            </w:tcBorders>
            <w:gridSpan w:val="4"/>
          </w:tcPr>
          <w:p>
            <w:pPr>
              <w:spacing w:after="0" w:line="143" w:lineRule="exact"/>
              <w:rPr>
                <w:rFonts w:ascii="Arial" w:cs="Arial" w:eastAsia="Arial" w:hAnsi="Arial"/>
                <w:sz w:val="14"/>
                <w:szCs w:val="14"/>
                <w:color w:val="0000EE"/>
              </w:rPr>
            </w:pPr>
            <w:hyperlink r:id="rId128">
              <w:r>
                <w:rPr>
                  <w:rFonts w:ascii="Arial" w:cs="Arial" w:eastAsia="Arial" w:hAnsi="Arial"/>
                  <w:sz w:val="14"/>
                  <w:szCs w:val="14"/>
                  <w:color w:val="0000EE"/>
                </w:rPr>
                <w:t>and Exchange Commission on April 10, 2026)</w:t>
              </w:r>
            </w:hyperlink>
          </w:p>
        </w:tc>
        <w:tc>
          <w:tcPr>
            <w:tcW w:w="5000" w:type="dxa"/>
            <w:vAlign w:val="bottom"/>
            <w:gridSpan w:val="1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4.2</w:t>
            </w:r>
          </w:p>
        </w:tc>
        <w:tc>
          <w:tcPr>
            <w:tcW w:w="7960" w:type="dxa"/>
            <w:vAlign w:val="bottom"/>
            <w:gridSpan w:val="21"/>
          </w:tcPr>
          <w:p>
            <w:pPr>
              <w:spacing w:after="0"/>
              <w:rPr>
                <w:rFonts w:ascii="Arial" w:cs="Arial" w:eastAsia="Arial" w:hAnsi="Arial"/>
                <w:sz w:val="14"/>
                <w:szCs w:val="14"/>
                <w:color w:val="0000EE"/>
              </w:rPr>
            </w:pPr>
            <w:hyperlink r:id="rId129">
              <w:r>
                <w:rPr>
                  <w:rFonts w:ascii="Arial" w:cs="Arial" w:eastAsia="Arial" w:hAnsi="Arial"/>
                  <w:sz w:val="14"/>
                  <w:szCs w:val="14"/>
                  <w:color w:val="0000EE"/>
                </w:rPr>
                <w:t>Specimen Stock Certificate evidencing the shares of common stock (incorporated by reference to Exhibit 4.1 to Amendment</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900" w:type="dxa"/>
            <w:vAlign w:val="bottom"/>
            <w:tcBorders>
              <w:top w:val="single" w:sz="8" w:color="0000EE"/>
            </w:tcBorders>
            <w:gridSpan w:val="18"/>
          </w:tcPr>
          <w:p>
            <w:pPr>
              <w:spacing w:after="0" w:line="143" w:lineRule="exact"/>
              <w:rPr>
                <w:rFonts w:ascii="Arial" w:cs="Arial" w:eastAsia="Arial" w:hAnsi="Arial"/>
                <w:sz w:val="14"/>
                <w:szCs w:val="14"/>
                <w:color w:val="0000EE"/>
              </w:rPr>
            </w:pPr>
            <w:hyperlink r:id="rId129">
              <w:r>
                <w:rPr>
                  <w:rFonts w:ascii="Arial" w:cs="Arial" w:eastAsia="Arial" w:hAnsi="Arial"/>
                  <w:sz w:val="14"/>
                  <w:szCs w:val="14"/>
                  <w:color w:val="0000EE"/>
                </w:rPr>
                <w:t>No. 1 to the registrant’s Registration Statement on Form S-1 (File No. 333-294989) filed with the Securities and Exchange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60" w:type="dxa"/>
            <w:vAlign w:val="bottom"/>
            <w:tcBorders>
              <w:top w:val="single" w:sz="8" w:color="0000EE"/>
            </w:tcBorders>
            <w:gridSpan w:val="11"/>
          </w:tcPr>
          <w:p>
            <w:pPr>
              <w:spacing w:after="0" w:line="143" w:lineRule="exact"/>
              <w:rPr>
                <w:rFonts w:ascii="Arial" w:cs="Arial" w:eastAsia="Arial" w:hAnsi="Arial"/>
                <w:sz w:val="14"/>
                <w:szCs w:val="14"/>
                <w:color w:val="0000EE"/>
              </w:rPr>
            </w:pPr>
            <w:hyperlink r:id="rId129">
              <w:r>
                <w:rPr>
                  <w:rFonts w:ascii="Arial" w:cs="Arial" w:eastAsia="Arial" w:hAnsi="Arial"/>
                  <w:sz w:val="14"/>
                  <w:szCs w:val="14"/>
                  <w:color w:val="0000EE"/>
                </w:rPr>
                <w:t>Commission on April 27, 2026)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4.3</w:t>
            </w:r>
          </w:p>
        </w:tc>
        <w:tc>
          <w:tcPr>
            <w:tcW w:w="7960" w:type="dxa"/>
            <w:vAlign w:val="bottom"/>
            <w:gridSpan w:val="21"/>
          </w:tcPr>
          <w:p>
            <w:pPr>
              <w:spacing w:after="0"/>
              <w:rPr>
                <w:rFonts w:ascii="Arial" w:cs="Arial" w:eastAsia="Arial" w:hAnsi="Arial"/>
                <w:sz w:val="14"/>
                <w:szCs w:val="14"/>
                <w:color w:val="0000EE"/>
              </w:rPr>
            </w:pPr>
            <w:hyperlink r:id="rId130">
              <w:r>
                <w:rPr>
                  <w:rFonts w:ascii="Arial" w:cs="Arial" w:eastAsia="Arial" w:hAnsi="Arial"/>
                  <w:sz w:val="14"/>
                  <w:szCs w:val="14"/>
                  <w:color w:val="0000EE"/>
                </w:rPr>
                <w:t>Form of Warrant Agreement (incorporated by reference to Exhibit 4.2 to the registrant’s Registration Statement on Form S-1</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80" w:type="dxa"/>
            <w:vAlign w:val="bottom"/>
            <w:tcBorders>
              <w:top w:val="single" w:sz="8" w:color="0000EE"/>
            </w:tcBorders>
            <w:gridSpan w:val="17"/>
          </w:tcPr>
          <w:p>
            <w:pPr>
              <w:spacing w:after="0" w:line="143" w:lineRule="exact"/>
              <w:rPr>
                <w:rFonts w:ascii="Arial" w:cs="Arial" w:eastAsia="Arial" w:hAnsi="Arial"/>
                <w:sz w:val="14"/>
                <w:szCs w:val="14"/>
                <w:color w:val="0000EE"/>
              </w:rPr>
            </w:pPr>
            <w:hyperlink r:id="rId130">
              <w:r>
                <w:rPr>
                  <w:rFonts w:ascii="Arial" w:cs="Arial" w:eastAsia="Arial" w:hAnsi="Arial"/>
                  <w:sz w:val="14"/>
                  <w:szCs w:val="14"/>
                  <w:color w:val="0000EE"/>
                </w:rPr>
                <w:t>(File No. 333-294989) filed with the Securities and Exchange Commission on April 10, 2026)</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474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10.1</w:t>
            </w:r>
          </w:p>
        </w:tc>
        <w:tc>
          <w:tcPr>
            <w:tcW w:w="7960" w:type="dxa"/>
            <w:vAlign w:val="bottom"/>
            <w:gridSpan w:val="21"/>
          </w:tcPr>
          <w:p>
            <w:pPr>
              <w:spacing w:after="0"/>
              <w:rPr>
                <w:rFonts w:ascii="Arial" w:cs="Arial" w:eastAsia="Arial" w:hAnsi="Arial"/>
                <w:sz w:val="14"/>
                <w:szCs w:val="14"/>
                <w:color w:val="0000EE"/>
              </w:rPr>
            </w:pPr>
            <w:hyperlink r:id="rId131">
              <w:r>
                <w:rPr>
                  <w:rFonts w:ascii="Arial" w:cs="Arial" w:eastAsia="Arial" w:hAnsi="Arial"/>
                  <w:sz w:val="14"/>
                  <w:szCs w:val="14"/>
                  <w:color w:val="0000EE"/>
                </w:rPr>
                <w:t>2026 Equity Incentive Plan (incorporated by reference to Exhibit 10.1 to Amendment No. 1 to the registrant’s Registration</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700" w:type="dxa"/>
            <w:vAlign w:val="bottom"/>
            <w:tcBorders>
              <w:top w:val="single" w:sz="8" w:color="0000EE"/>
            </w:tcBorders>
            <w:gridSpan w:val="10"/>
          </w:tcPr>
          <w:p>
            <w:pPr>
              <w:spacing w:after="0" w:line="143" w:lineRule="exact"/>
              <w:rPr>
                <w:rFonts w:ascii="Arial" w:cs="Arial" w:eastAsia="Arial" w:hAnsi="Arial"/>
                <w:sz w:val="14"/>
                <w:szCs w:val="14"/>
                <w:color w:val="0000EE"/>
              </w:rPr>
            </w:pPr>
            <w:hyperlink r:id="rId131">
              <w:r>
                <w:rPr>
                  <w:rFonts w:ascii="Arial" w:cs="Arial" w:eastAsia="Arial" w:hAnsi="Arial"/>
                  <w:sz w:val="14"/>
                  <w:szCs w:val="14"/>
                  <w:color w:val="0000EE"/>
                </w:rPr>
                <w:t>Statement on Form S-1 (File No. 333-294989) filed with the Securities and Exchange Commission on April 27, 2026)</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10.2</w:t>
            </w:r>
          </w:p>
        </w:tc>
        <w:tc>
          <w:tcPr>
            <w:tcW w:w="7960" w:type="dxa"/>
            <w:vAlign w:val="bottom"/>
            <w:gridSpan w:val="21"/>
          </w:tcPr>
          <w:p>
            <w:pPr>
              <w:spacing w:after="0"/>
              <w:rPr>
                <w:rFonts w:ascii="Arial" w:cs="Arial" w:eastAsia="Arial" w:hAnsi="Arial"/>
                <w:sz w:val="14"/>
                <w:szCs w:val="14"/>
                <w:color w:val="0000EE"/>
              </w:rPr>
            </w:pPr>
            <w:hyperlink r:id="rId132">
              <w:r>
                <w:rPr>
                  <w:rFonts w:ascii="Arial" w:cs="Arial" w:eastAsia="Arial" w:hAnsi="Arial"/>
                  <w:sz w:val="14"/>
                  <w:szCs w:val="14"/>
                  <w:color w:val="0000EE"/>
                </w:rPr>
                <w:t>Form of Agreements under 2026 Equity Incentive Plan (incorporated by reference to Exhibit 10.2 to Amendment No. 1 to the</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920" w:type="dxa"/>
            <w:vAlign w:val="bottom"/>
            <w:tcBorders>
              <w:top w:val="single" w:sz="8" w:color="0000EE"/>
            </w:tcBorders>
            <w:gridSpan w:val="19"/>
          </w:tcPr>
          <w:p>
            <w:pPr>
              <w:spacing w:after="0" w:line="143" w:lineRule="exact"/>
              <w:rPr>
                <w:rFonts w:ascii="Arial" w:cs="Arial" w:eastAsia="Arial" w:hAnsi="Arial"/>
                <w:sz w:val="14"/>
                <w:szCs w:val="14"/>
                <w:color w:val="0000EE"/>
              </w:rPr>
            </w:pPr>
            <w:hyperlink r:id="rId132">
              <w:r>
                <w:rPr>
                  <w:rFonts w:ascii="Arial" w:cs="Arial" w:eastAsia="Arial" w:hAnsi="Arial"/>
                  <w:sz w:val="14"/>
                  <w:szCs w:val="14"/>
                  <w:color w:val="0000EE"/>
                </w:rPr>
                <w:t>registrant’s Registration Statement on Form S-1 (File No. 333-294989) filed with the Securities and Exchange Commission</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tcBorders>
              <w:top w:val="single" w:sz="8" w:color="0000EE"/>
              <w:bottom w:val="single" w:sz="8" w:color="0000EE"/>
            </w:tcBorders>
            <w:gridSpan w:val="2"/>
          </w:tcPr>
          <w:p>
            <w:pPr>
              <w:spacing w:after="0" w:line="143" w:lineRule="exact"/>
              <w:rPr>
                <w:rFonts w:ascii="Arial" w:cs="Arial" w:eastAsia="Arial" w:hAnsi="Arial"/>
                <w:sz w:val="14"/>
                <w:szCs w:val="14"/>
                <w:color w:val="0000EE"/>
              </w:rPr>
            </w:pPr>
            <w:hyperlink r:id="rId132">
              <w:r>
                <w:rPr>
                  <w:rFonts w:ascii="Arial" w:cs="Arial" w:eastAsia="Arial" w:hAnsi="Arial"/>
                  <w:sz w:val="14"/>
                  <w:szCs w:val="14"/>
                  <w:color w:val="0000EE"/>
                </w:rPr>
                <w:t>on April 27, 2026)</w:t>
              </w:r>
            </w:hyperlink>
          </w:p>
        </w:tc>
        <w:tc>
          <w:tcPr>
            <w:tcW w:w="6660" w:type="dxa"/>
            <w:vAlign w:val="bottom"/>
            <w:tcBorders>
              <w:top w:val="single" w:sz="8" w:color="0000EE"/>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900" w:type="dxa"/>
            <w:vAlign w:val="bottom"/>
            <w:gridSpan w:val="2"/>
          </w:tcPr>
          <w:p>
            <w:pPr>
              <w:spacing w:after="0"/>
              <w:rPr>
                <w:sz w:val="20"/>
                <w:szCs w:val="20"/>
                <w:color w:val="auto"/>
              </w:rPr>
            </w:pPr>
            <w:r>
              <w:rPr>
                <w:rFonts w:ascii="Arial" w:cs="Arial" w:eastAsia="Arial" w:hAnsi="Arial"/>
                <w:sz w:val="14"/>
                <w:szCs w:val="14"/>
                <w:color w:val="auto"/>
              </w:rPr>
              <w:t>  10.3</w:t>
            </w:r>
          </w:p>
        </w:tc>
        <w:tc>
          <w:tcPr>
            <w:tcW w:w="7960" w:type="dxa"/>
            <w:vAlign w:val="bottom"/>
            <w:gridSpan w:val="21"/>
          </w:tcPr>
          <w:p>
            <w:pPr>
              <w:spacing w:after="0"/>
              <w:rPr>
                <w:rFonts w:ascii="Arial" w:cs="Arial" w:eastAsia="Arial" w:hAnsi="Arial"/>
                <w:sz w:val="14"/>
                <w:szCs w:val="14"/>
                <w:color w:val="0000EE"/>
              </w:rPr>
            </w:pPr>
            <w:hyperlink r:id="rId133">
              <w:r>
                <w:rPr>
                  <w:rFonts w:ascii="Arial" w:cs="Arial" w:eastAsia="Arial" w:hAnsi="Arial"/>
                  <w:sz w:val="14"/>
                  <w:szCs w:val="14"/>
                  <w:color w:val="0000EE"/>
                </w:rPr>
                <w:t>2026 Employee Stock Purchase Plan (incorporated by reference to Exhibit 10.3 to Amendment No. 1 to the registrant’s</w:t>
              </w:r>
            </w:hyperlink>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60" w:type="dxa"/>
            <w:vAlign w:val="bottom"/>
            <w:tcBorders>
              <w:top w:val="single" w:sz="8" w:color="0000EE"/>
            </w:tcBorders>
            <w:gridSpan w:val="9"/>
          </w:tcPr>
          <w:p>
            <w:pPr>
              <w:spacing w:after="0" w:line="143" w:lineRule="exact"/>
              <w:rPr>
                <w:rFonts w:ascii="Arial" w:cs="Arial" w:eastAsia="Arial" w:hAnsi="Arial"/>
                <w:sz w:val="14"/>
                <w:szCs w:val="14"/>
                <w:color w:val="0000EE"/>
              </w:rPr>
            </w:pPr>
            <w:hyperlink r:id="rId133">
              <w:r>
                <w:rPr>
                  <w:rFonts w:ascii="Arial" w:cs="Arial" w:eastAsia="Arial" w:hAnsi="Arial"/>
                  <w:sz w:val="14"/>
                  <w:szCs w:val="14"/>
                  <w:color w:val="0000EE"/>
                </w:rPr>
                <w:t>Registration Statement on Form S-1 (File No. 333-294989) filed with the Securities and Exchange Commission on April</w:t>
              </w:r>
            </w:hyperlink>
          </w:p>
        </w:tc>
        <w:tc>
          <w:tcPr>
            <w:tcW w:w="260" w:type="dxa"/>
            <w:vAlign w:val="bottom"/>
            <w:gridSpan w:val="5"/>
          </w:tcPr>
          <w:p>
            <w:pPr>
              <w:jc w:val="right"/>
              <w:spacing w:after="0" w:line="143" w:lineRule="exact"/>
              <w:rPr>
                <w:rFonts w:ascii="Arial" w:cs="Arial" w:eastAsia="Arial" w:hAnsi="Arial"/>
                <w:sz w:val="14"/>
                <w:szCs w:val="14"/>
                <w:color w:val="0000EE"/>
              </w:rPr>
            </w:pPr>
            <w:hyperlink r:id="rId133">
              <w:r>
                <w:rPr>
                  <w:rFonts w:ascii="Arial" w:cs="Arial" w:eastAsia="Arial" w:hAnsi="Arial"/>
                  <w:sz w:val="14"/>
                  <w:szCs w:val="14"/>
                  <w:color w:val="0000EE"/>
                </w:rPr>
                <w:t>27,</w:t>
              </w:r>
            </w:hyperlink>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Borders>
              <w:top w:val="single" w:sz="8" w:color="0000EE"/>
              <w:bottom w:val="single" w:sz="8" w:color="0000EE"/>
            </w:tcBorders>
          </w:tcPr>
          <w:p>
            <w:pPr>
              <w:spacing w:after="0" w:line="143" w:lineRule="exact"/>
              <w:rPr>
                <w:rFonts w:ascii="Arial" w:cs="Arial" w:eastAsia="Arial" w:hAnsi="Arial"/>
                <w:sz w:val="14"/>
                <w:szCs w:val="14"/>
                <w:color w:val="0000EE"/>
                <w:w w:val="94"/>
              </w:rPr>
            </w:pPr>
            <w:hyperlink r:id="rId133">
              <w:r>
                <w:rPr>
                  <w:rFonts w:ascii="Arial" w:cs="Arial" w:eastAsia="Arial" w:hAnsi="Arial"/>
                  <w:sz w:val="14"/>
                  <w:szCs w:val="14"/>
                  <w:color w:val="0000EE"/>
                  <w:w w:val="94"/>
                </w:rPr>
                <w:t>2026)</w:t>
              </w:r>
            </w:hyperlink>
          </w:p>
        </w:tc>
        <w:tc>
          <w:tcPr>
            <w:tcW w:w="780" w:type="dxa"/>
            <w:vAlign w:val="bottom"/>
            <w:tcBorders>
              <w:top w:val="single" w:sz="8" w:color="0000EE"/>
            </w:tcBorders>
          </w:tcPr>
          <w:p>
            <w:pPr>
              <w:spacing w:after="0"/>
              <w:rPr>
                <w:sz w:val="12"/>
                <w:szCs w:val="12"/>
                <w:color w:val="auto"/>
              </w:rPr>
            </w:pPr>
          </w:p>
        </w:tc>
        <w:tc>
          <w:tcPr>
            <w:tcW w:w="820" w:type="dxa"/>
            <w:vAlign w:val="bottom"/>
            <w:tcBorders>
              <w:top w:val="single" w:sz="8" w:color="0000EE"/>
            </w:tcBorders>
          </w:tcPr>
          <w:p>
            <w:pPr>
              <w:spacing w:after="0"/>
              <w:rPr>
                <w:sz w:val="12"/>
                <w:szCs w:val="12"/>
                <w:color w:val="auto"/>
              </w:rPr>
            </w:pPr>
          </w:p>
        </w:tc>
        <w:tc>
          <w:tcPr>
            <w:tcW w:w="980" w:type="dxa"/>
            <w:vAlign w:val="bottom"/>
            <w:tcBorders>
              <w:top w:val="single" w:sz="8" w:color="0000EE"/>
            </w:tcBorders>
          </w:tcPr>
          <w:p>
            <w:pPr>
              <w:spacing w:after="0"/>
              <w:rPr>
                <w:sz w:val="12"/>
                <w:szCs w:val="12"/>
                <w:color w:val="auto"/>
              </w:rPr>
            </w:pPr>
          </w:p>
        </w:tc>
        <w:tc>
          <w:tcPr>
            <w:tcW w:w="1200" w:type="dxa"/>
            <w:vAlign w:val="bottom"/>
            <w:tcBorders>
              <w:top w:val="single" w:sz="8" w:color="0000EE"/>
            </w:tcBorders>
          </w:tcPr>
          <w:p>
            <w:pPr>
              <w:spacing w:after="0"/>
              <w:rPr>
                <w:sz w:val="12"/>
                <w:szCs w:val="12"/>
                <w:color w:val="auto"/>
              </w:rPr>
            </w:pPr>
          </w:p>
        </w:tc>
        <w:tc>
          <w:tcPr>
            <w:tcW w:w="1740" w:type="dxa"/>
            <w:vAlign w:val="bottom"/>
            <w:tcBorders>
              <w:top w:val="single" w:sz="8" w:color="0000EE"/>
            </w:tcBorders>
          </w:tcPr>
          <w:p>
            <w:pPr>
              <w:spacing w:after="0"/>
              <w:rPr>
                <w:sz w:val="12"/>
                <w:szCs w:val="12"/>
                <w:color w:val="auto"/>
              </w:rPr>
            </w:pPr>
          </w:p>
        </w:tc>
        <w:tc>
          <w:tcPr>
            <w:tcW w:w="15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120" w:right="539" w:hanging="891"/>
        <w:spacing w:after="0" w:line="263" w:lineRule="auto"/>
        <w:tabs>
          <w:tab w:leader="none" w:pos="1313" w:val="left"/>
        </w:tabs>
        <w:numPr>
          <w:ilvl w:val="0"/>
          <w:numId w:val="58"/>
        </w:numPr>
        <w:rPr>
          <w:rFonts w:ascii="Arial" w:cs="Arial" w:eastAsia="Arial" w:hAnsi="Arial"/>
          <w:sz w:val="14"/>
          <w:szCs w:val="14"/>
          <w:u w:val="single" w:color="auto"/>
          <w:color w:val="0000EE"/>
        </w:rPr>
      </w:pPr>
      <w:r>
        <w:rPr>
          <w:rFonts w:ascii="Arial" w:cs="Arial" w:eastAsia="Arial" w:hAnsi="Arial"/>
          <w:sz w:val="14"/>
          <w:szCs w:val="14"/>
          <w:color w:val="auto"/>
        </w:rPr>
        <w:t>10.4</w:t>
      </w:r>
      <w:hyperlink r:id="rId134">
        <w:r>
          <w:rPr>
            <w:rFonts w:ascii="Arial" w:cs="Arial" w:eastAsia="Arial" w:hAnsi="Arial"/>
            <w:sz w:val="14"/>
            <w:szCs w:val="14"/>
            <w:u w:val="single" w:color="auto"/>
            <w:color w:val="0000EE"/>
          </w:rPr>
          <w:t>Executive Employment Agreement by and between Hemab Therapeutics Inc. and Benny Sørensen, as amended</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(incorporated by reference to Exhibit 10.6 to Amendment No. 1 to the registrant’s Registration Statement on Form S-1</w:t>
        </w:r>
      </w:hyperlink>
      <w:r>
        <w:rPr>
          <w:rFonts w:ascii="Arial" w:cs="Arial" w:eastAsia="Arial" w:hAnsi="Arial"/>
          <w:sz w:val="14"/>
          <w:szCs w:val="14"/>
          <w:u w:val="single" w:color="auto"/>
          <w:color w:val="0000EE"/>
        </w:rPr>
        <w:t xml:space="preserve"> </w:t>
      </w:r>
      <w:hyperlink r:id="rId134">
        <w:r>
          <w:rPr>
            <w:rFonts w:ascii="Arial" w:cs="Arial" w:eastAsia="Arial" w:hAnsi="Arial"/>
            <w:sz w:val="14"/>
            <w:szCs w:val="14"/>
            <w:u w:val="single" w:color="auto"/>
            <w:color w:val="0000EE"/>
          </w:rPr>
          <w:t>(File No. 333-294989) filed with the Securities and Exchange Commission on April 27, 2026)</w:t>
        </w:r>
      </w:hyperlink>
    </w:p>
    <w:p>
      <w:pPr>
        <w:spacing w:after="0" w:line="44" w:lineRule="exact"/>
        <w:rPr>
          <w:rFonts w:ascii="Arial" w:cs="Arial" w:eastAsia="Arial" w:hAnsi="Arial"/>
          <w:sz w:val="14"/>
          <w:szCs w:val="14"/>
          <w:u w:val="single" w:color="auto"/>
          <w:color w:val="0000EE"/>
        </w:rPr>
      </w:pPr>
    </w:p>
    <w:p>
      <w:pPr>
        <w:ind w:left="2120" w:right="159" w:hanging="891"/>
        <w:spacing w:after="0" w:line="263" w:lineRule="auto"/>
        <w:tabs>
          <w:tab w:leader="none" w:pos="1313" w:val="left"/>
        </w:tabs>
        <w:numPr>
          <w:ilvl w:val="0"/>
          <w:numId w:val="58"/>
        </w:numPr>
        <w:rPr>
          <w:rFonts w:ascii="Arial" w:cs="Arial" w:eastAsia="Arial" w:hAnsi="Arial"/>
          <w:sz w:val="14"/>
          <w:szCs w:val="14"/>
          <w:u w:val="single" w:color="auto"/>
          <w:color w:val="0000EE"/>
        </w:rPr>
      </w:pPr>
      <w:r>
        <w:rPr>
          <w:rFonts w:ascii="Arial" w:cs="Arial" w:eastAsia="Arial" w:hAnsi="Arial"/>
          <w:sz w:val="14"/>
          <w:szCs w:val="14"/>
          <w:color w:val="auto"/>
        </w:rPr>
        <w:t>10.5</w:t>
      </w:r>
      <w:hyperlink r:id="rId135">
        <w:r>
          <w:rPr>
            <w:rFonts w:ascii="Arial" w:cs="Arial" w:eastAsia="Arial" w:hAnsi="Arial"/>
            <w:sz w:val="14"/>
            <w:szCs w:val="14"/>
            <w:u w:val="single" w:color="auto"/>
            <w:color w:val="0000EE"/>
          </w:rPr>
          <w:t>Service Agreement by and between Hemab ApS and Mads Behrndt, as amended (incorporated by reference to Exhibit 10.7</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to Amendment No. 1 to the registrant’s Registration Statement on Form S-1 (File No. 333-294989) filed with the Securities</w:t>
        </w:r>
      </w:hyperlink>
      <w:r>
        <w:rPr>
          <w:rFonts w:ascii="Arial" w:cs="Arial" w:eastAsia="Arial" w:hAnsi="Arial"/>
          <w:sz w:val="14"/>
          <w:szCs w:val="14"/>
          <w:u w:val="single" w:color="auto"/>
          <w:color w:val="0000EE"/>
        </w:rPr>
        <w:t xml:space="preserve"> </w:t>
      </w:r>
      <w:hyperlink r:id="rId135">
        <w:r>
          <w:rPr>
            <w:rFonts w:ascii="Arial" w:cs="Arial" w:eastAsia="Arial" w:hAnsi="Arial"/>
            <w:sz w:val="14"/>
            <w:szCs w:val="14"/>
            <w:u w:val="single" w:color="auto"/>
            <w:color w:val="0000EE"/>
          </w:rPr>
          <w:t>and Exchange Commission on April 27, 2026)</w:t>
        </w:r>
      </w:hyperlink>
    </w:p>
    <w:p>
      <w:pPr>
        <w:spacing w:after="0" w:line="44" w:lineRule="exact"/>
        <w:rPr>
          <w:rFonts w:ascii="Arial" w:cs="Arial" w:eastAsia="Arial" w:hAnsi="Arial"/>
          <w:sz w:val="14"/>
          <w:szCs w:val="14"/>
          <w:u w:val="single" w:color="auto"/>
          <w:color w:val="0000EE"/>
        </w:rPr>
      </w:pPr>
    </w:p>
    <w:p>
      <w:pPr>
        <w:ind w:left="2120" w:right="179" w:hanging="891"/>
        <w:spacing w:after="0" w:line="263" w:lineRule="auto"/>
        <w:tabs>
          <w:tab w:leader="none" w:pos="1313" w:val="left"/>
        </w:tabs>
        <w:numPr>
          <w:ilvl w:val="0"/>
          <w:numId w:val="58"/>
        </w:numPr>
        <w:rPr>
          <w:rFonts w:ascii="Arial" w:cs="Arial" w:eastAsia="Arial" w:hAnsi="Arial"/>
          <w:sz w:val="14"/>
          <w:szCs w:val="14"/>
          <w:u w:val="single" w:color="auto"/>
          <w:color w:val="0000EE"/>
        </w:rPr>
      </w:pPr>
      <w:r>
        <w:rPr>
          <w:rFonts w:ascii="Arial" w:cs="Arial" w:eastAsia="Arial" w:hAnsi="Arial"/>
          <w:sz w:val="14"/>
          <w:szCs w:val="14"/>
          <w:color w:val="auto"/>
        </w:rPr>
        <w:t>10.6</w:t>
      </w:r>
      <w:hyperlink r:id="rId136">
        <w:r>
          <w:rPr>
            <w:rFonts w:ascii="Arial" w:cs="Arial" w:eastAsia="Arial" w:hAnsi="Arial"/>
            <w:sz w:val="14"/>
            <w:szCs w:val="14"/>
            <w:u w:val="single" w:color="auto"/>
            <w:color w:val="0000EE"/>
          </w:rPr>
          <w:t>Employment Offer Letter by and between Hemab Therapeutics Inc. and Catherine Madigan, as amended (incorporated by</w:t>
        </w:r>
      </w:hyperlink>
      <w:r>
        <w:rPr>
          <w:rFonts w:ascii="Arial" w:cs="Arial" w:eastAsia="Arial" w:hAnsi="Arial"/>
          <w:sz w:val="14"/>
          <w:szCs w:val="14"/>
          <w:u w:val="single" w:color="auto"/>
          <w:color w:val="0000EE"/>
        </w:rPr>
        <w:t xml:space="preserve"> </w:t>
      </w:r>
      <w:hyperlink r:id="rId136">
        <w:r>
          <w:rPr>
            <w:rFonts w:ascii="Arial" w:cs="Arial" w:eastAsia="Arial" w:hAnsi="Arial"/>
            <w:sz w:val="14"/>
            <w:szCs w:val="14"/>
            <w:u w:val="single" w:color="auto"/>
            <w:color w:val="0000EE"/>
          </w:rPr>
          <w:t>reference to Exhibit 10.8 to Amendment No. 1 to the registrant’s Registration Statement on Form S-1 (File No. 333-294989)</w:t>
        </w:r>
      </w:hyperlink>
      <w:r>
        <w:rPr>
          <w:rFonts w:ascii="Arial" w:cs="Arial" w:eastAsia="Arial" w:hAnsi="Arial"/>
          <w:sz w:val="14"/>
          <w:szCs w:val="14"/>
          <w:u w:val="single" w:color="auto"/>
          <w:color w:val="0000EE"/>
        </w:rPr>
        <w:t xml:space="preserve"> </w:t>
      </w:r>
      <w:hyperlink r:id="rId136">
        <w:r>
          <w:rPr>
            <w:rFonts w:ascii="Arial" w:cs="Arial" w:eastAsia="Arial" w:hAnsi="Arial"/>
            <w:sz w:val="14"/>
            <w:szCs w:val="14"/>
            <w:u w:val="single" w:color="auto"/>
            <w:color w:val="0000EE"/>
          </w:rPr>
          <w:t>filed with the Securities and Exchange Commission on April 27, 2026)</w:t>
        </w:r>
      </w:hyperlink>
    </w:p>
    <w:p>
      <w:pPr>
        <w:spacing w:after="0" w:line="39" w:lineRule="exact"/>
        <w:rPr>
          <w:rFonts w:ascii="Arial" w:cs="Arial" w:eastAsia="Arial" w:hAnsi="Arial"/>
          <w:sz w:val="14"/>
          <w:szCs w:val="14"/>
          <w:u w:val="single" w:color="auto"/>
          <w:color w:val="0000EE"/>
        </w:rPr>
      </w:pPr>
    </w:p>
    <w:tbl>
      <w:tblPr>
        <w:tblLayout w:type="fixed"/>
        <w:tblInd w:w="12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rPr>
              <w:t>  10.7</w:t>
            </w:r>
          </w:p>
        </w:tc>
        <w:tc>
          <w:tcPr>
            <w:tcW w:w="7940" w:type="dxa"/>
            <w:vAlign w:val="bottom"/>
            <w:gridSpan w:val="4"/>
          </w:tcPr>
          <w:p>
            <w:pPr>
              <w:spacing w:after="0"/>
              <w:rPr>
                <w:rFonts w:ascii="Arial" w:cs="Arial" w:eastAsia="Arial" w:hAnsi="Arial"/>
                <w:sz w:val="14"/>
                <w:szCs w:val="14"/>
                <w:color w:val="0000EE"/>
              </w:rPr>
            </w:pPr>
            <w:hyperlink r:id="rId137">
              <w:r>
                <w:rPr>
                  <w:rFonts w:ascii="Arial" w:cs="Arial" w:eastAsia="Arial" w:hAnsi="Arial"/>
                  <w:sz w:val="14"/>
                  <w:szCs w:val="14"/>
                  <w:color w:val="0000EE"/>
                </w:rPr>
                <w:t>Form of Indemnification Agreement between the Registrant and each of its Executive Officers and Directors (incorporated by</w:t>
              </w:r>
            </w:hyperlink>
          </w:p>
        </w:tc>
      </w:tr>
      <w:tr>
        <w:trPr>
          <w:trHeight w:val="142"/>
        </w:trPr>
        <w:tc>
          <w:tcPr>
            <w:tcW w:w="900" w:type="dxa"/>
            <w:vAlign w:val="bottom"/>
          </w:tcPr>
          <w:p>
            <w:pPr>
              <w:spacing w:after="0"/>
              <w:rPr>
                <w:sz w:val="12"/>
                <w:szCs w:val="12"/>
                <w:color w:val="auto"/>
              </w:rPr>
            </w:pPr>
          </w:p>
        </w:tc>
        <w:tc>
          <w:tcPr>
            <w:tcW w:w="7920" w:type="dxa"/>
            <w:vAlign w:val="bottom"/>
            <w:tcBorders>
              <w:top w:val="single" w:sz="8" w:color="0000EE"/>
            </w:tcBorders>
            <w:gridSpan w:val="3"/>
          </w:tcPr>
          <w:p>
            <w:pPr>
              <w:spacing w:after="0" w:line="143" w:lineRule="exact"/>
              <w:rPr>
                <w:rFonts w:ascii="Arial" w:cs="Arial" w:eastAsia="Arial" w:hAnsi="Arial"/>
                <w:sz w:val="14"/>
                <w:szCs w:val="14"/>
                <w:color w:val="0000EE"/>
              </w:rPr>
            </w:pPr>
            <w:hyperlink r:id="rId137">
              <w:r>
                <w:rPr>
                  <w:rFonts w:ascii="Arial" w:cs="Arial" w:eastAsia="Arial" w:hAnsi="Arial"/>
                  <w:sz w:val="14"/>
                  <w:szCs w:val="14"/>
                  <w:color w:val="0000EE"/>
                </w:rPr>
                <w:t>reference to Exhibit 10.9 to Amendment No. 1 to the registrant’s Registration Statement on Form S-1 (File No. 333-294989)</w:t>
              </w:r>
            </w:hyperlink>
          </w:p>
        </w:tc>
        <w:tc>
          <w:tcPr>
            <w:tcW w:w="20" w:type="dxa"/>
            <w:vAlign w:val="bottom"/>
          </w:tcPr>
          <w:p>
            <w:pPr>
              <w:spacing w:after="0"/>
              <w:rPr>
                <w:sz w:val="12"/>
                <w:szCs w:val="12"/>
                <w:color w:val="auto"/>
              </w:rPr>
            </w:pPr>
          </w:p>
        </w:tc>
      </w:tr>
      <w:tr>
        <w:trPr>
          <w:trHeight w:val="142"/>
        </w:trPr>
        <w:tc>
          <w:tcPr>
            <w:tcW w:w="900" w:type="dxa"/>
            <w:vAlign w:val="bottom"/>
          </w:tcPr>
          <w:p>
            <w:pPr>
              <w:spacing w:after="0"/>
              <w:rPr>
                <w:sz w:val="12"/>
                <w:szCs w:val="12"/>
                <w:color w:val="auto"/>
              </w:rPr>
            </w:pPr>
          </w:p>
        </w:tc>
        <w:tc>
          <w:tcPr>
            <w:tcW w:w="7860" w:type="dxa"/>
            <w:vAlign w:val="bottom"/>
            <w:tcBorders>
              <w:top w:val="single" w:sz="8" w:color="0000EE"/>
            </w:tcBorders>
            <w:gridSpan w:val="2"/>
          </w:tcPr>
          <w:p>
            <w:pPr>
              <w:spacing w:after="0" w:line="143" w:lineRule="exact"/>
              <w:rPr>
                <w:rFonts w:ascii="Arial" w:cs="Arial" w:eastAsia="Arial" w:hAnsi="Arial"/>
                <w:sz w:val="14"/>
                <w:szCs w:val="14"/>
                <w:color w:val="0000EE"/>
              </w:rPr>
            </w:pPr>
            <w:hyperlink r:id="rId137">
              <w:r>
                <w:rPr>
                  <w:rFonts w:ascii="Arial" w:cs="Arial" w:eastAsia="Arial" w:hAnsi="Arial"/>
                  <w:sz w:val="14"/>
                  <w:szCs w:val="14"/>
                  <w:color w:val="0000EE"/>
                </w:rPr>
                <w:t>filed with the Securities and Exchange Commission on April 27, 2026)</w:t>
              </w:r>
            </w:hyperlink>
          </w:p>
        </w:tc>
        <w:tc>
          <w:tcPr>
            <w:tcW w:w="80" w:type="dxa"/>
            <w:vAlign w:val="bottom"/>
            <w:gridSpan w:val="2"/>
          </w:tcPr>
          <w:p>
            <w:pPr>
              <w:spacing w:after="0"/>
              <w:rPr>
                <w:sz w:val="12"/>
                <w:szCs w:val="12"/>
                <w:color w:val="auto"/>
              </w:rPr>
            </w:pPr>
          </w:p>
        </w:tc>
      </w:tr>
      <w:tr>
        <w:trPr>
          <w:trHeight w:val="297"/>
        </w:trPr>
        <w:tc>
          <w:tcPr>
            <w:tcW w:w="900" w:type="dxa"/>
            <w:vAlign w:val="bottom"/>
          </w:tcPr>
          <w:p>
            <w:pPr>
              <w:spacing w:after="0"/>
              <w:rPr>
                <w:sz w:val="24"/>
                <w:szCs w:val="24"/>
                <w:color w:val="auto"/>
              </w:rPr>
            </w:pPr>
          </w:p>
        </w:tc>
        <w:tc>
          <w:tcPr>
            <w:tcW w:w="4440" w:type="dxa"/>
            <w:vAlign w:val="bottom"/>
            <w:tcBorders>
              <w:top w:val="single" w:sz="8" w:color="0000EE"/>
            </w:tcBorders>
          </w:tcPr>
          <w:p>
            <w:pPr>
              <w:jc w:val="right"/>
              <w:ind w:right="728"/>
              <w:spacing w:after="0"/>
              <w:rPr>
                <w:sz w:val="20"/>
                <w:szCs w:val="20"/>
                <w:color w:val="auto"/>
              </w:rPr>
            </w:pPr>
            <w:r>
              <w:rPr>
                <w:rFonts w:ascii="Arial" w:cs="Arial" w:eastAsia="Arial" w:hAnsi="Arial"/>
                <w:sz w:val="14"/>
                <w:szCs w:val="14"/>
                <w:color w:val="auto"/>
              </w:rPr>
              <w:t>108</w:t>
            </w:r>
          </w:p>
        </w:tc>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159"/>
          </w:cols>
          <w:pgMar w:left="300" w:top="415"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57"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color w:val="auto"/>
              </w:rPr>
              <w:t>  10.8</w:t>
            </w:r>
          </w:p>
        </w:tc>
        <w:tc>
          <w:tcPr>
            <w:tcW w:w="7420" w:type="dxa"/>
            <w:vAlign w:val="bottom"/>
            <w:tcBorders>
              <w:bottom w:val="single" w:sz="8" w:color="0000EE"/>
            </w:tcBorders>
            <w:gridSpan w:val="2"/>
          </w:tcPr>
          <w:p>
            <w:pPr>
              <w:spacing w:after="0"/>
              <w:rPr>
                <w:rFonts w:ascii="Arial" w:cs="Arial" w:eastAsia="Arial" w:hAnsi="Arial"/>
                <w:sz w:val="14"/>
                <w:szCs w:val="14"/>
                <w:color w:val="0000EE"/>
              </w:rPr>
            </w:pPr>
            <w:hyperlink r:id="rId139">
              <w:r>
                <w:rPr>
                  <w:rFonts w:ascii="Arial" w:cs="Arial" w:eastAsia="Arial" w:hAnsi="Arial"/>
                  <w:sz w:val="14"/>
                  <w:szCs w:val="14"/>
                  <w:color w:val="0000EE"/>
                </w:rPr>
                <w:t>Non-Employee Director Compensation Policy (incorporated by reference to Exhibit 10.10 to Amendment No. 1 to the</w:t>
              </w:r>
            </w:hyperlink>
          </w:p>
        </w:tc>
        <w:tc>
          <w:tcPr>
            <w:tcW w:w="400" w:type="dxa"/>
            <w:vAlign w:val="bottom"/>
            <w:gridSpan w:val="2"/>
          </w:tcPr>
          <w:p>
            <w:pPr>
              <w:spacing w:after="0"/>
              <w:rPr>
                <w:sz w:val="14"/>
                <w:szCs w:val="14"/>
                <w:color w:val="auto"/>
              </w:rPr>
            </w:pPr>
          </w:p>
        </w:tc>
      </w:tr>
      <w:tr>
        <w:trPr>
          <w:trHeight w:val="142"/>
        </w:trPr>
        <w:tc>
          <w:tcPr>
            <w:tcW w:w="900" w:type="dxa"/>
            <w:vAlign w:val="bottom"/>
          </w:tcPr>
          <w:p>
            <w:pPr>
              <w:spacing w:after="0"/>
              <w:rPr>
                <w:sz w:val="12"/>
                <w:szCs w:val="12"/>
                <w:color w:val="auto"/>
              </w:rPr>
            </w:pPr>
          </w:p>
        </w:tc>
        <w:tc>
          <w:tcPr>
            <w:tcW w:w="7820" w:type="dxa"/>
            <w:vAlign w:val="bottom"/>
            <w:gridSpan w:val="4"/>
          </w:tcPr>
          <w:p>
            <w:pPr>
              <w:spacing w:after="0" w:line="143" w:lineRule="exact"/>
              <w:rPr>
                <w:rFonts w:ascii="Arial" w:cs="Arial" w:eastAsia="Arial" w:hAnsi="Arial"/>
                <w:sz w:val="14"/>
                <w:szCs w:val="14"/>
                <w:color w:val="0000EE"/>
              </w:rPr>
            </w:pPr>
            <w:hyperlink r:id="rId139">
              <w:r>
                <w:rPr>
                  <w:rFonts w:ascii="Arial" w:cs="Arial" w:eastAsia="Arial" w:hAnsi="Arial"/>
                  <w:sz w:val="14"/>
                  <w:szCs w:val="14"/>
                  <w:color w:val="0000EE"/>
                </w:rPr>
                <w:t>registrant’s Registration Statement on Form S-1 (File No. 333-294989) filed with the Securities and Exchange Commission</w:t>
              </w:r>
            </w:hyperlink>
          </w:p>
        </w:tc>
      </w:tr>
      <w:tr>
        <w:trPr>
          <w:trHeight w:val="142"/>
        </w:trPr>
        <w:tc>
          <w:tcPr>
            <w:tcW w:w="900" w:type="dxa"/>
            <w:vAlign w:val="bottom"/>
          </w:tcPr>
          <w:p>
            <w:pPr>
              <w:spacing w:after="0"/>
              <w:rPr>
                <w:sz w:val="12"/>
                <w:szCs w:val="12"/>
                <w:color w:val="auto"/>
              </w:rPr>
            </w:pPr>
          </w:p>
        </w:tc>
        <w:tc>
          <w:tcPr>
            <w:tcW w:w="1140" w:type="dxa"/>
            <w:vAlign w:val="bottom"/>
            <w:tcBorders>
              <w:top w:val="single" w:sz="8" w:color="0000EE"/>
              <w:bottom w:val="single" w:sz="8" w:color="0000EE"/>
            </w:tcBorders>
          </w:tcPr>
          <w:p>
            <w:pPr>
              <w:spacing w:after="0" w:line="143" w:lineRule="exact"/>
              <w:rPr>
                <w:rFonts w:ascii="Arial" w:cs="Arial" w:eastAsia="Arial" w:hAnsi="Arial"/>
                <w:sz w:val="14"/>
                <w:szCs w:val="14"/>
                <w:color w:val="0000EE"/>
              </w:rPr>
            </w:pPr>
            <w:hyperlink r:id="rId139">
              <w:r>
                <w:rPr>
                  <w:rFonts w:ascii="Arial" w:cs="Arial" w:eastAsia="Arial" w:hAnsi="Arial"/>
                  <w:sz w:val="14"/>
                  <w:szCs w:val="14"/>
                  <w:color w:val="0000EE"/>
                </w:rPr>
                <w:t>on April 27, 2026)</w:t>
              </w:r>
            </w:hyperlink>
          </w:p>
        </w:tc>
        <w:tc>
          <w:tcPr>
            <w:tcW w:w="6660" w:type="dxa"/>
            <w:vAlign w:val="bottom"/>
            <w:tcBorders>
              <w:top w:val="single" w:sz="8" w:color="0000EE"/>
            </w:tcBorders>
            <w:gridSpan w:val="2"/>
          </w:tcPr>
          <w:p>
            <w:pPr>
              <w:spacing w:after="0"/>
              <w:rPr>
                <w:sz w:val="12"/>
                <w:szCs w:val="12"/>
                <w:color w:val="auto"/>
              </w:rPr>
            </w:pPr>
          </w:p>
        </w:tc>
        <w:tc>
          <w:tcPr>
            <w:tcW w:w="20" w:type="dxa"/>
            <w:vAlign w:val="bottom"/>
          </w:tcPr>
          <w:p>
            <w:pPr>
              <w:spacing w:after="0"/>
              <w:rPr>
                <w:sz w:val="12"/>
                <w:szCs w:val="12"/>
                <w:color w:val="auto"/>
              </w:rPr>
            </w:pPr>
          </w:p>
        </w:tc>
      </w:tr>
    </w:tbl>
    <w:p>
      <w:pPr>
        <w:spacing w:after="0" w:line="83" w:lineRule="exact"/>
        <w:rPr>
          <w:sz w:val="20"/>
          <w:szCs w:val="20"/>
          <w:color w:val="auto"/>
        </w:rPr>
      </w:pPr>
    </w:p>
    <w:p>
      <w:pPr>
        <w:ind w:left="2120" w:right="199" w:hanging="891"/>
        <w:spacing w:after="0" w:line="285" w:lineRule="auto"/>
        <w:tabs>
          <w:tab w:leader="none" w:pos="1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4"/>
          <w:szCs w:val="14"/>
          <w:u w:val="single" w:color="auto"/>
          <w:color w:val="0000EE"/>
        </w:rPr>
        <w:t>Certification of Principal Executive Officer Pursuant to Rules 13a-14(a) and 15d-14(a) under the Securities Exchange Act of 1934, as Adopted Pursuant to Section 302 of the Sarbanes-Oxley Act of 2002</w:t>
      </w:r>
    </w:p>
    <w:p>
      <w:pPr>
        <w:spacing w:after="0" w:line="28" w:lineRule="exact"/>
        <w:rPr>
          <w:rFonts w:ascii="Arial" w:cs="Arial" w:eastAsia="Arial" w:hAnsi="Arial"/>
          <w:sz w:val="14"/>
          <w:szCs w:val="14"/>
          <w:color w:val="auto"/>
        </w:rPr>
      </w:pPr>
    </w:p>
    <w:p>
      <w:pPr>
        <w:ind w:left="2120" w:right="239" w:hanging="891"/>
        <w:spacing w:after="0" w:line="285" w:lineRule="auto"/>
        <w:tabs>
          <w:tab w:leader="none" w:pos="1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4"/>
          <w:szCs w:val="14"/>
          <w:u w:val="single" w:color="auto"/>
          <w:color w:val="0000EE"/>
        </w:rPr>
        <w:t>Certification of Principal Financial Officer Pursuant to Rules 13a-14(a) and 15d-14(a) under the Securities Exchange Act of 1934, as Adopted Pursuant to Section 302 of the Sarbanes-Oxley Act of 2002</w:t>
      </w:r>
    </w:p>
    <w:p>
      <w:pPr>
        <w:spacing w:after="0" w:line="28" w:lineRule="exact"/>
        <w:rPr>
          <w:rFonts w:ascii="Arial" w:cs="Arial" w:eastAsia="Arial" w:hAnsi="Arial"/>
          <w:sz w:val="14"/>
          <w:szCs w:val="14"/>
          <w:color w:val="auto"/>
        </w:rPr>
      </w:pPr>
    </w:p>
    <w:p>
      <w:pPr>
        <w:ind w:left="2120" w:right="279" w:hanging="891"/>
        <w:spacing w:after="0" w:line="285" w:lineRule="auto"/>
        <w:tabs>
          <w:tab w:leader="none" w:pos="1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4"/>
          <w:szCs w:val="14"/>
          <w:u w:val="single" w:color="auto"/>
          <w:color w:val="0000EE"/>
        </w:rPr>
        <w:t>Certification of Principal Executive Officer Pursuant to 18 U.S.C. Section 1350, as Adopted Pursuant to Section 906 of the Sarbanes-Oxley Act of 2002</w:t>
      </w:r>
    </w:p>
    <w:p>
      <w:pPr>
        <w:spacing w:after="0" w:line="28" w:lineRule="exact"/>
        <w:rPr>
          <w:rFonts w:ascii="Arial" w:cs="Arial" w:eastAsia="Arial" w:hAnsi="Arial"/>
          <w:sz w:val="14"/>
          <w:szCs w:val="14"/>
          <w:color w:val="auto"/>
        </w:rPr>
      </w:pPr>
    </w:p>
    <w:p>
      <w:pPr>
        <w:ind w:left="2120" w:right="339" w:hanging="891"/>
        <w:spacing w:after="0" w:line="285" w:lineRule="auto"/>
        <w:tabs>
          <w:tab w:leader="none" w:pos="1313" w:val="left"/>
        </w:tabs>
        <w:numPr>
          <w:ilvl w:val="0"/>
          <w:numId w:val="59"/>
        </w:numPr>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4"/>
          <w:szCs w:val="14"/>
          <w:u w:val="single" w:color="auto"/>
          <w:color w:val="0000EE"/>
        </w:rPr>
        <w:t>Certification of Principal Financial Officer Pursuant to 18 U.S.C. Section 1350, as Adopted Pursuant to Section 906 of the Sarbanes-Oxley Act of 2002</w:t>
      </w:r>
    </w:p>
    <w:p>
      <w:pPr>
        <w:spacing w:after="0" w:line="29"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740" w:type="dxa"/>
            <w:vAlign w:val="bottom"/>
          </w:tcPr>
          <w:p>
            <w:pPr>
              <w:spacing w:after="0"/>
              <w:rPr>
                <w:sz w:val="20"/>
                <w:szCs w:val="20"/>
                <w:color w:val="auto"/>
              </w:rPr>
            </w:pPr>
            <w:r>
              <w:rPr>
                <w:rFonts w:ascii="Arial" w:cs="Arial" w:eastAsia="Arial" w:hAnsi="Arial"/>
                <w:sz w:val="14"/>
                <w:szCs w:val="14"/>
                <w:color w:val="auto"/>
              </w:rPr>
              <w:t>101.INS</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Instance Document</w:t>
            </w:r>
          </w:p>
        </w:tc>
      </w:tr>
      <w:tr>
        <w:trPr>
          <w:trHeight w:val="249"/>
        </w:trPr>
        <w:tc>
          <w:tcPr>
            <w:tcW w:w="740" w:type="dxa"/>
            <w:vAlign w:val="bottom"/>
          </w:tcPr>
          <w:p>
            <w:pPr>
              <w:spacing w:after="0"/>
              <w:rPr>
                <w:sz w:val="20"/>
                <w:szCs w:val="20"/>
                <w:color w:val="auto"/>
              </w:rPr>
            </w:pPr>
            <w:r>
              <w:rPr>
                <w:rFonts w:ascii="Arial" w:cs="Arial" w:eastAsia="Arial" w:hAnsi="Arial"/>
                <w:sz w:val="14"/>
                <w:szCs w:val="14"/>
                <w:color w:val="auto"/>
              </w:rPr>
              <w:t>101.SCH</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Taxonomy Extension Schema Document</w:t>
            </w:r>
          </w:p>
        </w:tc>
      </w:tr>
      <w:tr>
        <w:trPr>
          <w:trHeight w:val="249"/>
        </w:trPr>
        <w:tc>
          <w:tcPr>
            <w:tcW w:w="740" w:type="dxa"/>
            <w:vAlign w:val="bottom"/>
          </w:tcPr>
          <w:p>
            <w:pPr>
              <w:spacing w:after="0"/>
              <w:rPr>
                <w:sz w:val="20"/>
                <w:szCs w:val="20"/>
                <w:color w:val="auto"/>
              </w:rPr>
            </w:pPr>
            <w:r>
              <w:rPr>
                <w:rFonts w:ascii="Arial" w:cs="Arial" w:eastAsia="Arial" w:hAnsi="Arial"/>
                <w:sz w:val="14"/>
                <w:szCs w:val="14"/>
                <w:color w:val="auto"/>
              </w:rPr>
              <w:t>101.CAL</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49"/>
        </w:trPr>
        <w:tc>
          <w:tcPr>
            <w:tcW w:w="740" w:type="dxa"/>
            <w:vAlign w:val="bottom"/>
          </w:tcPr>
          <w:p>
            <w:pPr>
              <w:spacing w:after="0"/>
              <w:rPr>
                <w:sz w:val="20"/>
                <w:szCs w:val="20"/>
                <w:color w:val="auto"/>
              </w:rPr>
            </w:pPr>
            <w:r>
              <w:rPr>
                <w:rFonts w:ascii="Arial" w:cs="Arial" w:eastAsia="Arial" w:hAnsi="Arial"/>
                <w:sz w:val="14"/>
                <w:szCs w:val="14"/>
                <w:color w:val="auto"/>
              </w:rPr>
              <w:t>101.DEF</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49"/>
        </w:trPr>
        <w:tc>
          <w:tcPr>
            <w:tcW w:w="740" w:type="dxa"/>
            <w:vAlign w:val="bottom"/>
          </w:tcPr>
          <w:p>
            <w:pPr>
              <w:spacing w:after="0"/>
              <w:rPr>
                <w:sz w:val="20"/>
                <w:szCs w:val="20"/>
                <w:color w:val="auto"/>
              </w:rPr>
            </w:pPr>
            <w:r>
              <w:rPr>
                <w:rFonts w:ascii="Arial" w:cs="Arial" w:eastAsia="Arial" w:hAnsi="Arial"/>
                <w:sz w:val="14"/>
                <w:szCs w:val="14"/>
                <w:color w:val="auto"/>
              </w:rPr>
              <w:t>101.LAB</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49"/>
        </w:trPr>
        <w:tc>
          <w:tcPr>
            <w:tcW w:w="740" w:type="dxa"/>
            <w:vAlign w:val="bottom"/>
          </w:tcPr>
          <w:p>
            <w:pPr>
              <w:spacing w:after="0"/>
              <w:rPr>
                <w:sz w:val="20"/>
                <w:szCs w:val="20"/>
                <w:color w:val="auto"/>
              </w:rPr>
            </w:pPr>
            <w:r>
              <w:rPr>
                <w:rFonts w:ascii="Arial" w:cs="Arial" w:eastAsia="Arial" w:hAnsi="Arial"/>
                <w:sz w:val="14"/>
                <w:szCs w:val="14"/>
                <w:color w:val="auto"/>
              </w:rPr>
              <w:t>101.PRE</w:t>
            </w:r>
          </w:p>
        </w:tc>
        <w:tc>
          <w:tcPr>
            <w:tcW w:w="4460" w:type="dxa"/>
            <w:vAlign w:val="bottom"/>
          </w:tcPr>
          <w:p>
            <w:pPr>
              <w:ind w:left="160"/>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58" w:lineRule="exact"/>
        <w:rPr>
          <w:sz w:val="20"/>
          <w:szCs w:val="20"/>
          <w:color w:val="auto"/>
        </w:rPr>
      </w:pPr>
    </w:p>
    <w:p>
      <w:pPr>
        <w:ind w:left="2120" w:right="179" w:hanging="891"/>
        <w:spacing w:after="0" w:line="285" w:lineRule="auto"/>
        <w:tabs>
          <w:tab w:leader="none" w:pos="21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cover page from the Company’s Quarterly Report on Form 10-Q for the three months ended March 31, 2026,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41275</wp:posOffset>
            </wp:positionV>
            <wp:extent cx="61849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618490" cy="6985"/>
                    </a:xfrm>
                    <a:prstGeom prst="rect">
                      <a:avLst/>
                    </a:prstGeom>
                    <a:noFill/>
                  </pic:spPr>
                </pic:pic>
              </a:graphicData>
            </a:graphic>
          </wp:anchor>
        </w:drawing>
      </w:r>
    </w:p>
    <w:p>
      <w:pPr>
        <w:spacing w:after="0" w:line="74" w:lineRule="exact"/>
        <w:rPr>
          <w:sz w:val="20"/>
          <w:szCs w:val="20"/>
          <w:color w:val="auto"/>
        </w:rPr>
      </w:pPr>
    </w:p>
    <w:p>
      <w:pPr>
        <w:ind w:left="1580" w:hanging="351"/>
        <w:spacing w:after="0"/>
        <w:tabs>
          <w:tab w:leader="none" w:pos="1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5" w:lineRule="exact"/>
        <w:rPr>
          <w:sz w:val="20"/>
          <w:szCs w:val="20"/>
          <w:color w:val="auto"/>
        </w:rPr>
      </w:pPr>
    </w:p>
    <w:p>
      <w:pPr>
        <w:ind w:left="1580" w:right="199" w:hanging="351"/>
        <w:spacing w:after="0" w:line="249" w:lineRule="auto"/>
        <w:tabs>
          <w:tab w:leader="none" w:pos="1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Quarterly Report, are deemed furnished and not filed with the Securities and Exchange Commission and are not to be incorporated by reference into any filing of Hemab Therapeutics Holdings, Inc. under the Securities Act of 1933, as amended, or the Securities Exchange Act of 1934, as amended, whether made before or after the date of this Quarterly Report, irrespective of any general incorporation language contained in such filing.</w:t>
      </w:r>
    </w:p>
    <w:p>
      <w:pPr>
        <w:spacing w:after="0" w:line="86"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0159"/>
          </w:cols>
          <w:pgMar w:left="300" w:top="415"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182245</wp:posOffset>
            </wp:positionH>
            <wp:positionV relativeFrom="page">
              <wp:posOffset>88900</wp:posOffset>
            </wp:positionV>
            <wp:extent cx="7198995" cy="469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98995" cy="46990"/>
                    </a:xfrm>
                    <a:prstGeom prst="rect">
                      <a:avLst/>
                    </a:prstGeom>
                    <a:noFill/>
                  </pic:spPr>
                </pic:pic>
              </a:graphicData>
            </a:graphic>
          </wp:anchor>
        </w:drawing>
        <w:t>Table of Contents</w:t>
      </w:r>
    </w:p>
    <w:p>
      <w:pPr>
        <w:spacing w:after="0" w:line="263"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SIGNATURES</w:t>
      </w:r>
    </w:p>
    <w:p>
      <w:pPr>
        <w:spacing w:after="0" w:line="174" w:lineRule="exact"/>
        <w:rPr>
          <w:sz w:val="20"/>
          <w:szCs w:val="20"/>
          <w:color w:val="auto"/>
        </w:rPr>
      </w:pPr>
    </w:p>
    <w:p>
      <w:pPr>
        <w:ind w:left="1220" w:right="219"/>
        <w:spacing w:after="0" w:line="285"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37" w:lineRule="exact"/>
        <w:rPr>
          <w:sz w:val="20"/>
          <w:szCs w:val="20"/>
          <w:color w:val="auto"/>
        </w:rPr>
      </w:pPr>
    </w:p>
    <w:tbl>
      <w:tblPr>
        <w:tblLayout w:type="fixed"/>
        <w:tblInd w:w="122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60" w:type="dxa"/>
            <w:vAlign w:val="bottom"/>
          </w:tcPr>
          <w:p>
            <w:pPr>
              <w:ind w:left="480"/>
              <w:spacing w:after="0"/>
              <w:rPr>
                <w:sz w:val="20"/>
                <w:szCs w:val="20"/>
                <w:color w:val="auto"/>
              </w:rPr>
            </w:pPr>
            <w:r>
              <w:rPr>
                <w:rFonts w:ascii="Arial" w:cs="Arial" w:eastAsia="Arial" w:hAnsi="Arial"/>
                <w:sz w:val="14"/>
                <w:szCs w:val="14"/>
                <w:color w:val="auto"/>
              </w:rPr>
              <w:t>HEMAB THERAPEUTICS HOLDINGS, INC.</w:t>
            </w:r>
          </w:p>
        </w:tc>
      </w:tr>
      <w:tr>
        <w:trPr>
          <w:trHeight w:val="322"/>
        </w:trPr>
        <w:tc>
          <w:tcPr>
            <w:tcW w:w="2780" w:type="dxa"/>
            <w:vAlign w:val="bottom"/>
          </w:tcPr>
          <w:p>
            <w:pPr>
              <w:spacing w:after="0"/>
              <w:rPr>
                <w:sz w:val="20"/>
                <w:szCs w:val="20"/>
                <w:color w:val="auto"/>
              </w:rPr>
            </w:pPr>
            <w:r>
              <w:rPr>
                <w:rFonts w:ascii="Arial" w:cs="Arial" w:eastAsia="Arial" w:hAnsi="Arial"/>
                <w:sz w:val="14"/>
                <w:szCs w:val="14"/>
                <w:color w:val="auto"/>
              </w:rPr>
              <w:t>Date: May 21, 2026</w:t>
            </w:r>
          </w:p>
        </w:tc>
        <w:tc>
          <w:tcPr>
            <w:tcW w:w="2000" w:type="dxa"/>
            <w:vAlign w:val="bottom"/>
          </w:tcPr>
          <w:p>
            <w:pPr>
              <w:ind w:left="1740"/>
              <w:spacing w:after="0"/>
              <w:rPr>
                <w:sz w:val="20"/>
                <w:szCs w:val="20"/>
                <w:color w:val="auto"/>
              </w:rPr>
            </w:pPr>
            <w:r>
              <w:rPr>
                <w:rFonts w:ascii="Arial" w:cs="Arial" w:eastAsia="Arial" w:hAnsi="Arial"/>
                <w:sz w:val="14"/>
                <w:szCs w:val="14"/>
                <w:color w:val="auto"/>
              </w:rPr>
              <w:t>By:</w:t>
            </w:r>
          </w:p>
        </w:tc>
        <w:tc>
          <w:tcPr>
            <w:tcW w:w="4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/s/ Benny Sørensen, M.D., Ph.D.</w:t>
            </w:r>
          </w:p>
        </w:tc>
      </w:tr>
      <w:tr>
        <w:trPr>
          <w:trHeight w:val="138"/>
        </w:trPr>
        <w:tc>
          <w:tcPr>
            <w:tcW w:w="2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60" w:type="dxa"/>
            <w:vAlign w:val="bottom"/>
          </w:tcPr>
          <w:p>
            <w:pPr>
              <w:jc w:val="center"/>
              <w:ind w:left="8"/>
              <w:spacing w:after="0" w:line="139" w:lineRule="exact"/>
              <w:rPr>
                <w:sz w:val="20"/>
                <w:szCs w:val="20"/>
                <w:color w:val="auto"/>
              </w:rPr>
            </w:pPr>
            <w:r>
              <w:rPr>
                <w:rFonts w:ascii="Arial" w:cs="Arial" w:eastAsia="Arial" w:hAnsi="Arial"/>
                <w:sz w:val="14"/>
                <w:szCs w:val="14"/>
                <w:color w:val="auto"/>
              </w:rPr>
              <w:t>Benny Sørensen, M.D., Ph.D.</w:t>
            </w:r>
          </w:p>
        </w:tc>
      </w:tr>
      <w:tr>
        <w:trPr>
          <w:trHeight w:val="164"/>
        </w:trPr>
        <w:tc>
          <w:tcPr>
            <w:tcW w:w="2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60" w:type="dxa"/>
            <w:vAlign w:val="bottom"/>
          </w:tcPr>
          <w:p>
            <w:pPr>
              <w:jc w:val="center"/>
              <w:ind w:left="28"/>
              <w:spacing w:after="0"/>
              <w:rPr>
                <w:sz w:val="20"/>
                <w:szCs w:val="20"/>
                <w:color w:val="auto"/>
              </w:rPr>
            </w:pPr>
            <w:r>
              <w:rPr>
                <w:rFonts w:ascii="Arial" w:cs="Arial" w:eastAsia="Arial" w:hAnsi="Arial"/>
                <w:sz w:val="14"/>
                <w:szCs w:val="14"/>
                <w:color w:val="auto"/>
              </w:rPr>
              <w:t>President and Chief Executive Officer</w:t>
            </w:r>
          </w:p>
        </w:tc>
      </w:tr>
      <w:tr>
        <w:trPr>
          <w:trHeight w:val="189"/>
        </w:trPr>
        <w:tc>
          <w:tcPr>
            <w:tcW w:w="2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60" w:type="dxa"/>
            <w:vAlign w:val="bottom"/>
          </w:tcPr>
          <w:p>
            <w:pPr>
              <w:jc w:val="center"/>
              <w:ind w:left="8"/>
              <w:spacing w:after="0"/>
              <w:rPr>
                <w:sz w:val="20"/>
                <w:szCs w:val="20"/>
                <w:color w:val="auto"/>
              </w:rPr>
            </w:pPr>
            <w:r>
              <w:rPr>
                <w:rFonts w:ascii="Arial" w:cs="Arial" w:eastAsia="Arial" w:hAnsi="Arial"/>
                <w:sz w:val="14"/>
                <w:szCs w:val="14"/>
                <w:i w:val="1"/>
                <w:iCs w:val="1"/>
                <w:color w:val="auto"/>
              </w:rPr>
              <w:t>(Principal Executive Officer)</w:t>
            </w:r>
          </w:p>
        </w:tc>
      </w:tr>
      <w:tr>
        <w:trPr>
          <w:trHeight w:val="322"/>
        </w:trPr>
        <w:tc>
          <w:tcPr>
            <w:tcW w:w="2780" w:type="dxa"/>
            <w:vAlign w:val="bottom"/>
          </w:tcPr>
          <w:p>
            <w:pPr>
              <w:spacing w:after="0"/>
              <w:rPr>
                <w:sz w:val="20"/>
                <w:szCs w:val="20"/>
                <w:color w:val="auto"/>
              </w:rPr>
            </w:pPr>
            <w:r>
              <w:rPr>
                <w:rFonts w:ascii="Arial" w:cs="Arial" w:eastAsia="Arial" w:hAnsi="Arial"/>
                <w:sz w:val="14"/>
                <w:szCs w:val="14"/>
                <w:color w:val="auto"/>
              </w:rPr>
              <w:t>Date: May 21, 2026</w:t>
            </w:r>
          </w:p>
        </w:tc>
        <w:tc>
          <w:tcPr>
            <w:tcW w:w="2000" w:type="dxa"/>
            <w:vAlign w:val="bottom"/>
          </w:tcPr>
          <w:p>
            <w:pPr>
              <w:ind w:left="1740"/>
              <w:spacing w:after="0"/>
              <w:rPr>
                <w:sz w:val="20"/>
                <w:szCs w:val="20"/>
                <w:color w:val="auto"/>
              </w:rPr>
            </w:pPr>
            <w:r>
              <w:rPr>
                <w:rFonts w:ascii="Arial" w:cs="Arial" w:eastAsia="Arial" w:hAnsi="Arial"/>
                <w:sz w:val="14"/>
                <w:szCs w:val="14"/>
                <w:color w:val="auto"/>
              </w:rPr>
              <w:t>By:</w:t>
            </w:r>
          </w:p>
        </w:tc>
        <w:tc>
          <w:tcPr>
            <w:tcW w:w="40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/s/ Mads Behrndt, M.Sc.</w:t>
            </w:r>
          </w:p>
        </w:tc>
      </w:tr>
      <w:tr>
        <w:trPr>
          <w:trHeight w:val="138"/>
        </w:trPr>
        <w:tc>
          <w:tcPr>
            <w:tcW w:w="2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060" w:type="dxa"/>
            <w:vAlign w:val="bottom"/>
          </w:tcPr>
          <w:p>
            <w:pPr>
              <w:jc w:val="center"/>
              <w:ind w:left="8"/>
              <w:spacing w:after="0" w:line="139" w:lineRule="exact"/>
              <w:rPr>
                <w:sz w:val="20"/>
                <w:szCs w:val="20"/>
                <w:color w:val="auto"/>
              </w:rPr>
            </w:pPr>
            <w:r>
              <w:rPr>
                <w:rFonts w:ascii="Arial" w:cs="Arial" w:eastAsia="Arial" w:hAnsi="Arial"/>
                <w:sz w:val="14"/>
                <w:szCs w:val="14"/>
                <w:color w:val="auto"/>
              </w:rPr>
              <w:t>Mads Behrndt, M.Sc.</w:t>
            </w:r>
          </w:p>
        </w:tc>
      </w:tr>
      <w:tr>
        <w:trPr>
          <w:trHeight w:val="164"/>
        </w:trPr>
        <w:tc>
          <w:tcPr>
            <w:tcW w:w="27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60" w:type="dxa"/>
            <w:vAlign w:val="bottom"/>
          </w:tcPr>
          <w:p>
            <w:pPr>
              <w:jc w:val="center"/>
              <w:ind w:left="8"/>
              <w:spacing w:after="0"/>
              <w:rPr>
                <w:sz w:val="20"/>
                <w:szCs w:val="20"/>
                <w:color w:val="auto"/>
              </w:rPr>
            </w:pPr>
            <w:r>
              <w:rPr>
                <w:rFonts w:ascii="Arial" w:cs="Arial" w:eastAsia="Arial" w:hAnsi="Arial"/>
                <w:sz w:val="14"/>
                <w:szCs w:val="14"/>
                <w:color w:val="auto"/>
              </w:rPr>
              <w:t>Chief Financial Officer</w:t>
            </w:r>
          </w:p>
        </w:tc>
      </w:tr>
      <w:tr>
        <w:trPr>
          <w:trHeight w:val="189"/>
        </w:trPr>
        <w:tc>
          <w:tcPr>
            <w:tcW w:w="2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60" w:type="dxa"/>
            <w:vAlign w:val="bottom"/>
          </w:tcPr>
          <w:p>
            <w:pPr>
              <w:jc w:val="center"/>
              <w:ind w:left="28"/>
              <w:spacing w:after="0"/>
              <w:rPr>
                <w:sz w:val="20"/>
                <w:szCs w:val="20"/>
                <w:color w:val="auto"/>
              </w:rPr>
            </w:pPr>
            <w:r>
              <w:rPr>
                <w:rFonts w:ascii="Arial" w:cs="Arial" w:eastAsia="Arial" w:hAnsi="Arial"/>
                <w:sz w:val="14"/>
                <w:szCs w:val="14"/>
                <w:i w:val="1"/>
                <w:iCs w:val="1"/>
                <w:color w:val="auto"/>
              </w:rPr>
              <w:t>(Principal Financial and Accounting Officer)</w:t>
            </w:r>
          </w:p>
        </w:tc>
      </w:tr>
      <w:tr>
        <w:trPr>
          <w:trHeight w:val="281"/>
        </w:trPr>
        <w:tc>
          <w:tcPr>
            <w:tcW w:w="2780" w:type="dxa"/>
            <w:vAlign w:val="bottom"/>
          </w:tcPr>
          <w:p>
            <w:pPr>
              <w:spacing w:after="0"/>
              <w:rPr>
                <w:sz w:val="24"/>
                <w:szCs w:val="24"/>
                <w:color w:val="auto"/>
              </w:rPr>
            </w:pPr>
          </w:p>
        </w:tc>
        <w:tc>
          <w:tcPr>
            <w:tcW w:w="2000" w:type="dxa"/>
            <w:vAlign w:val="bottom"/>
          </w:tcPr>
          <w:p>
            <w:pPr>
              <w:jc w:val="right"/>
              <w:ind w:right="168"/>
              <w:spacing w:after="0"/>
              <w:rPr>
                <w:sz w:val="20"/>
                <w:szCs w:val="20"/>
                <w:color w:val="auto"/>
              </w:rPr>
            </w:pPr>
            <w:r>
              <w:rPr>
                <w:rFonts w:ascii="Arial" w:cs="Arial" w:eastAsia="Arial" w:hAnsi="Arial"/>
                <w:sz w:val="14"/>
                <w:szCs w:val="14"/>
                <w:color w:val="auto"/>
              </w:rPr>
              <w:t>110</w:t>
            </w:r>
          </w:p>
        </w:tc>
        <w:tc>
          <w:tcPr>
            <w:tcW w:w="4060" w:type="dxa"/>
            <w:vAlign w:val="bottom"/>
          </w:tcPr>
          <w:p>
            <w:pPr>
              <w:spacing w:after="0"/>
              <w:rPr>
                <w:sz w:val="24"/>
                <w:szCs w:val="24"/>
                <w:color w:val="auto"/>
              </w:rPr>
            </w:pPr>
          </w:p>
        </w:tc>
      </w:tr>
    </w:tbl>
    <w:p>
      <w:pPr>
        <w:sectPr>
          <w:pgSz w:w="11900" w:h="16838" w:orient="portrait"/>
          <w:cols w:equalWidth="0" w:num="1">
            <w:col w:w="10159"/>
          </w:cols>
          <w:pgMar w:left="300" w:top="415" w:right="1440" w:bottom="1440" w:gutter="0" w:footer="0" w:header="0"/>
        </w:sectPr>
      </w:pPr>
    </w:p>
    <w:bookmarkStart w:id="110" w:name="page111"/>
    <w:bookmarkEnd w:id="110"/>
    <w:p>
      <w:pPr>
        <w:jc w:val="right"/>
        <w:ind w:right="99"/>
        <w:spacing w:after="0"/>
        <w:rPr>
          <w:sz w:val="20"/>
          <w:szCs w:val="20"/>
          <w:color w:val="auto"/>
        </w:rPr>
      </w:pPr>
      <w:r>
        <w:rPr>
          <w:rFonts w:ascii="Arial" w:cs="Arial" w:eastAsia="Arial" w:hAnsi="Arial"/>
          <w:sz w:val="14"/>
          <w:szCs w:val="14"/>
          <w:b w:val="1"/>
          <w:bCs w:val="1"/>
          <w:color w:val="auto"/>
        </w:rPr>
        <w:t>Exhibit 31.1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I, Benny Sørensen, certify that:</w:t>
      </w:r>
    </w:p>
    <w:p>
      <w:pPr>
        <w:spacing w:after="0" w:line="88" w:lineRule="exact"/>
        <w:rPr>
          <w:sz w:val="20"/>
          <w:szCs w:val="20"/>
          <w:color w:val="auto"/>
        </w:rPr>
      </w:pPr>
    </w:p>
    <w:p>
      <w:pPr>
        <w:ind w:left="240" w:hanging="151"/>
        <w:spacing w:after="0"/>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Hemab Therapeutics Holdings, Inc.;</w:t>
      </w:r>
    </w:p>
    <w:p>
      <w:pPr>
        <w:spacing w:after="0" w:line="174" w:lineRule="exact"/>
        <w:rPr>
          <w:rFonts w:ascii="Arial" w:cs="Arial" w:eastAsia="Arial" w:hAnsi="Arial"/>
          <w:sz w:val="14"/>
          <w:szCs w:val="14"/>
          <w:color w:val="auto"/>
        </w:rPr>
      </w:pPr>
    </w:p>
    <w:p>
      <w:pPr>
        <w:jc w:val="both"/>
        <w:ind w:left="80" w:right="239" w:firstLine="9"/>
        <w:spacing w:after="0" w:line="263" w:lineRule="auto"/>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4"/>
          <w:szCs w:val="14"/>
          <w:color w:val="auto"/>
        </w:rPr>
      </w:pPr>
    </w:p>
    <w:p>
      <w:pPr>
        <w:ind w:left="80" w:right="319" w:firstLine="9"/>
        <w:spacing w:after="0" w:line="285" w:lineRule="auto"/>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4"/>
          <w:szCs w:val="14"/>
          <w:color w:val="auto"/>
        </w:rPr>
      </w:pPr>
    </w:p>
    <w:p>
      <w:pPr>
        <w:ind w:left="80" w:right="399" w:firstLine="9"/>
        <w:spacing w:after="0" w:line="285" w:lineRule="auto"/>
        <w:tabs>
          <w:tab w:leader="none" w:pos="2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29" w:lineRule="exact"/>
        <w:rPr>
          <w:sz w:val="20"/>
          <w:szCs w:val="20"/>
          <w:color w:val="auto"/>
        </w:rPr>
      </w:pPr>
    </w:p>
    <w:p>
      <w:pPr>
        <w:ind w:left="80" w:right="299" w:firstLine="9"/>
        <w:spacing w:after="0" w:line="263" w:lineRule="auto"/>
        <w:tabs>
          <w:tab w:leader="none" w:pos="296"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jc w:val="both"/>
        <w:ind w:left="80" w:right="279" w:firstLine="9"/>
        <w:spacing w:after="0" w:line="271" w:lineRule="auto"/>
        <w:tabs>
          <w:tab w:leader="none" w:pos="296" w:val="left"/>
        </w:tabs>
        <w:numPr>
          <w:ilvl w:val="0"/>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6" w:lineRule="exact"/>
        <w:rPr>
          <w:rFonts w:ascii="Arial" w:cs="Arial" w:eastAsia="Arial" w:hAnsi="Arial"/>
          <w:sz w:val="14"/>
          <w:szCs w:val="14"/>
          <w:color w:val="auto"/>
        </w:rPr>
      </w:pPr>
    </w:p>
    <w:p>
      <w:pPr>
        <w:ind w:left="80" w:right="99" w:firstLine="9"/>
        <w:spacing w:after="0" w:line="263" w:lineRule="auto"/>
        <w:tabs>
          <w:tab w:leader="none" w:pos="288" w:val="left"/>
        </w:tabs>
        <w:numPr>
          <w:ilvl w:val="0"/>
          <w:numId w:val="64"/>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80" w:right="299" w:firstLine="9"/>
        <w:spacing w:after="0" w:line="263" w:lineRule="auto"/>
        <w:tabs>
          <w:tab w:leader="none" w:pos="2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sz w:val="20"/>
          <w:szCs w:val="20"/>
          <w:color w:val="auto"/>
        </w:rPr>
      </w:pPr>
    </w:p>
    <w:p>
      <w:pPr>
        <w:ind w:left="80" w:right="439" w:firstLine="9"/>
        <w:spacing w:after="0" w:line="285" w:lineRule="auto"/>
        <w:tabs>
          <w:tab w:leader="none" w:pos="2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4"/>
          <w:szCs w:val="14"/>
          <w:color w:val="auto"/>
        </w:rPr>
      </w:pPr>
    </w:p>
    <w:p>
      <w:pPr>
        <w:ind w:left="80" w:right="119" w:firstLine="9"/>
        <w:spacing w:after="0" w:line="285" w:lineRule="auto"/>
        <w:tabs>
          <w:tab w:leader="none" w:pos="2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p>
      <w:pPr>
        <w:ind w:left="80"/>
        <w:spacing w:after="0"/>
        <w:tabs>
          <w:tab w:leader="none" w:pos="4580" w:val="left"/>
          <w:tab w:leader="none" w:pos="6280" w:val="left"/>
        </w:tabs>
        <w:rPr>
          <w:sz w:val="20"/>
          <w:szCs w:val="20"/>
          <w:color w:val="auto"/>
        </w:rPr>
      </w:pPr>
      <w:r>
        <w:rPr>
          <w:rFonts w:ascii="Arial" w:cs="Arial" w:eastAsia="Arial" w:hAnsi="Arial"/>
          <w:sz w:val="14"/>
          <w:szCs w:val="14"/>
          <w:color w:val="auto"/>
        </w:rPr>
        <w:t>Date: May 21,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17145</wp:posOffset>
            </wp:positionV>
            <wp:extent cx="25768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Benny Sørensen</w:t>
      </w:r>
    </w:p>
    <w:p>
      <w:pPr>
        <w:spacing w:after="0" w:line="1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i w:val="1"/>
          <w:iCs w:val="1"/>
          <w:color w:val="auto"/>
        </w:rPr>
        <w:t>(Principal Executive Officer)</w:t>
      </w:r>
    </w:p>
    <w:p>
      <w:pPr>
        <w:sectPr>
          <w:pgSz w:w="11900" w:h="16838" w:orient="portrait"/>
          <w:cols w:equalWidth="0" w:num="1">
            <w:col w:w="9019"/>
          </w:cols>
          <w:pgMar w:left="1440" w:top="125" w:right="1440" w:bottom="1440" w:gutter="0" w:footer="0" w:header="0"/>
        </w:sectPr>
      </w:pPr>
    </w:p>
    <w:bookmarkStart w:id="111" w:name="page112"/>
    <w:bookmarkEnd w:id="111"/>
    <w:p>
      <w:pPr>
        <w:jc w:val="right"/>
        <w:ind w:right="99"/>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RULES 13a-14(a) AND 15d-14(a) UNDER THE SECURITIES EXCHANGE ACT OF 1934,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302 OF THE SARBANES-OXLEY ACT OF 2002</w:t>
      </w:r>
    </w:p>
    <w:p>
      <w:pPr>
        <w:spacing w:after="0" w:line="160" w:lineRule="exact"/>
        <w:rPr>
          <w:sz w:val="20"/>
          <w:szCs w:val="20"/>
          <w:color w:val="auto"/>
        </w:rPr>
      </w:pPr>
    </w:p>
    <w:p>
      <w:pPr>
        <w:ind w:left="80"/>
        <w:spacing w:after="0"/>
        <w:rPr>
          <w:sz w:val="20"/>
          <w:szCs w:val="20"/>
          <w:color w:val="auto"/>
        </w:rPr>
      </w:pPr>
      <w:r>
        <w:rPr>
          <w:rFonts w:ascii="Arial" w:cs="Arial" w:eastAsia="Arial" w:hAnsi="Arial"/>
          <w:sz w:val="14"/>
          <w:szCs w:val="14"/>
          <w:color w:val="auto"/>
        </w:rPr>
        <w:t>I, Mads Behrndt, certify that:</w:t>
      </w:r>
    </w:p>
    <w:p>
      <w:pPr>
        <w:spacing w:after="0" w:line="88" w:lineRule="exact"/>
        <w:rPr>
          <w:sz w:val="20"/>
          <w:szCs w:val="20"/>
          <w:color w:val="auto"/>
        </w:rPr>
      </w:pPr>
    </w:p>
    <w:p>
      <w:pPr>
        <w:ind w:left="240" w:hanging="151"/>
        <w:spacing w:after="0"/>
        <w:tabs>
          <w:tab w:leader="none" w:pos="2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Hemab Therapeutics Holdings, Inc.;</w:t>
      </w:r>
    </w:p>
    <w:p>
      <w:pPr>
        <w:spacing w:after="0" w:line="174" w:lineRule="exact"/>
        <w:rPr>
          <w:rFonts w:ascii="Arial" w:cs="Arial" w:eastAsia="Arial" w:hAnsi="Arial"/>
          <w:sz w:val="14"/>
          <w:szCs w:val="14"/>
          <w:color w:val="auto"/>
        </w:rPr>
      </w:pPr>
    </w:p>
    <w:p>
      <w:pPr>
        <w:jc w:val="both"/>
        <w:ind w:left="80" w:right="239" w:firstLine="9"/>
        <w:spacing w:after="0" w:line="263" w:lineRule="auto"/>
        <w:tabs>
          <w:tab w:leader="none" w:pos="2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4"/>
          <w:szCs w:val="14"/>
          <w:color w:val="auto"/>
        </w:rPr>
      </w:pPr>
    </w:p>
    <w:p>
      <w:pPr>
        <w:ind w:left="80" w:right="319" w:firstLine="9"/>
        <w:spacing w:after="0" w:line="285" w:lineRule="auto"/>
        <w:tabs>
          <w:tab w:leader="none" w:pos="2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4"/>
          <w:szCs w:val="14"/>
          <w:color w:val="auto"/>
        </w:rPr>
      </w:pPr>
    </w:p>
    <w:p>
      <w:pPr>
        <w:ind w:left="80" w:right="399" w:firstLine="9"/>
        <w:spacing w:after="0" w:line="285" w:lineRule="auto"/>
        <w:tabs>
          <w:tab w:leader="none" w:pos="2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29" w:lineRule="exact"/>
        <w:rPr>
          <w:sz w:val="20"/>
          <w:szCs w:val="20"/>
          <w:color w:val="auto"/>
        </w:rPr>
      </w:pPr>
    </w:p>
    <w:p>
      <w:pPr>
        <w:ind w:left="80" w:right="299" w:firstLine="9"/>
        <w:spacing w:after="0" w:line="263" w:lineRule="auto"/>
        <w:tabs>
          <w:tab w:leader="none" w:pos="296" w:val="left"/>
        </w:tabs>
        <w:numPr>
          <w:ilvl w:val="0"/>
          <w:numId w:val="6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4"/>
          <w:szCs w:val="14"/>
          <w:color w:val="auto"/>
        </w:rPr>
      </w:pPr>
    </w:p>
    <w:p>
      <w:pPr>
        <w:jc w:val="both"/>
        <w:ind w:left="80" w:right="279" w:firstLine="9"/>
        <w:spacing w:after="0" w:line="271" w:lineRule="auto"/>
        <w:tabs>
          <w:tab w:leader="none" w:pos="296" w:val="left"/>
        </w:tabs>
        <w:numPr>
          <w:ilvl w:val="0"/>
          <w:numId w:val="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6" w:lineRule="exact"/>
        <w:rPr>
          <w:rFonts w:ascii="Arial" w:cs="Arial" w:eastAsia="Arial" w:hAnsi="Arial"/>
          <w:sz w:val="14"/>
          <w:szCs w:val="14"/>
          <w:color w:val="auto"/>
        </w:rPr>
      </w:pPr>
    </w:p>
    <w:p>
      <w:pPr>
        <w:ind w:left="80" w:right="99" w:firstLine="9"/>
        <w:spacing w:after="0" w:line="263" w:lineRule="auto"/>
        <w:tabs>
          <w:tab w:leader="none" w:pos="288"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sz w:val="20"/>
          <w:szCs w:val="20"/>
          <w:color w:val="auto"/>
        </w:rPr>
      </w:pPr>
    </w:p>
    <w:p>
      <w:pPr>
        <w:ind w:left="80" w:right="299" w:firstLine="9"/>
        <w:spacing w:after="0" w:line="263" w:lineRule="auto"/>
        <w:tabs>
          <w:tab w:leader="none" w:pos="2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sz w:val="20"/>
          <w:szCs w:val="20"/>
          <w:color w:val="auto"/>
        </w:rPr>
      </w:pPr>
    </w:p>
    <w:p>
      <w:pPr>
        <w:ind w:left="80" w:right="439" w:firstLine="9"/>
        <w:spacing w:after="0" w:line="285" w:lineRule="auto"/>
        <w:tabs>
          <w:tab w:leader="none" w:pos="296" w:val="left"/>
        </w:tabs>
        <w:numPr>
          <w:ilvl w:val="0"/>
          <w:numId w:val="7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4"/>
          <w:szCs w:val="14"/>
          <w:color w:val="auto"/>
        </w:rPr>
      </w:pPr>
    </w:p>
    <w:p>
      <w:pPr>
        <w:ind w:left="80" w:right="119" w:firstLine="9"/>
        <w:spacing w:after="0" w:line="285" w:lineRule="auto"/>
        <w:tabs>
          <w:tab w:leader="none" w:pos="296" w:val="left"/>
        </w:tabs>
        <w:numPr>
          <w:ilvl w:val="0"/>
          <w:numId w:val="7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p>
      <w:pPr>
        <w:ind w:left="80"/>
        <w:spacing w:after="0"/>
        <w:tabs>
          <w:tab w:leader="none" w:pos="4580" w:val="left"/>
          <w:tab w:leader="none" w:pos="6360" w:val="left"/>
        </w:tabs>
        <w:rPr>
          <w:sz w:val="20"/>
          <w:szCs w:val="20"/>
          <w:color w:val="auto"/>
        </w:rPr>
      </w:pPr>
      <w:r>
        <w:rPr>
          <w:rFonts w:ascii="Arial" w:cs="Arial" w:eastAsia="Arial" w:hAnsi="Arial"/>
          <w:sz w:val="14"/>
          <w:szCs w:val="14"/>
          <w:color w:val="auto"/>
        </w:rPr>
        <w:t>Date: May 21,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Mads Behrndt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17145</wp:posOffset>
            </wp:positionV>
            <wp:extent cx="25768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Mads Behrndt</w:t>
      </w:r>
    </w:p>
    <w:p>
      <w:pPr>
        <w:spacing w:after="0" w:line="1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Chief Financial Officer and General Manager</w:t>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i w:val="1"/>
          <w:iCs w:val="1"/>
          <w:color w:val="auto"/>
        </w:rPr>
        <w:t>(Principal Financial Officer)</w:t>
      </w:r>
    </w:p>
    <w:p>
      <w:pPr>
        <w:sectPr>
          <w:pgSz w:w="11900" w:h="16838" w:orient="portrait"/>
          <w:cols w:equalWidth="0" w:num="1">
            <w:col w:w="9019"/>
          </w:cols>
          <w:pgMar w:left="1440" w:top="124" w:right="1440" w:bottom="1440" w:gutter="0" w:footer="0" w:header="0"/>
        </w:sectPr>
      </w:pPr>
    </w:p>
    <w:bookmarkStart w:id="112" w:name="page113"/>
    <w:bookmarkEnd w:id="112"/>
    <w:p>
      <w:pPr>
        <w:jc w:val="right"/>
        <w:ind w:right="99"/>
        <w:spacing w:after="0"/>
        <w:rPr>
          <w:sz w:val="20"/>
          <w:szCs w:val="20"/>
          <w:color w:val="auto"/>
        </w:rPr>
      </w:pPr>
      <w:r>
        <w:rPr>
          <w:rFonts w:ascii="Arial" w:cs="Arial" w:eastAsia="Arial" w:hAnsi="Arial"/>
          <w:sz w:val="14"/>
          <w:szCs w:val="14"/>
          <w:b w:val="1"/>
          <w:bCs w:val="1"/>
          <w:color w:val="auto"/>
        </w:rPr>
        <w:t>Exhibit 32.1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0" w:lineRule="exact"/>
        <w:rPr>
          <w:sz w:val="20"/>
          <w:szCs w:val="20"/>
          <w:color w:val="auto"/>
        </w:rPr>
      </w:pPr>
    </w:p>
    <w:p>
      <w:pPr>
        <w:ind w:left="80" w:right="139" w:firstLine="353"/>
        <w:spacing w:after="0" w:line="263" w:lineRule="auto"/>
        <w:rPr>
          <w:sz w:val="20"/>
          <w:szCs w:val="20"/>
          <w:color w:val="auto"/>
        </w:rPr>
      </w:pPr>
      <w:r>
        <w:rPr>
          <w:rFonts w:ascii="Arial" w:cs="Arial" w:eastAsia="Arial" w:hAnsi="Arial"/>
          <w:sz w:val="14"/>
          <w:szCs w:val="14"/>
          <w:color w:val="auto"/>
        </w:rPr>
        <w:t>In connection with the Quarterly Report of Hemab Therapeutics Holdings,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55" w:lineRule="exact"/>
        <w:rPr>
          <w:sz w:val="20"/>
          <w:szCs w:val="20"/>
          <w:color w:val="auto"/>
        </w:rPr>
      </w:pPr>
    </w:p>
    <w:p>
      <w:pPr>
        <w:ind w:left="860" w:hanging="424"/>
        <w:spacing w:after="0"/>
        <w:tabs>
          <w:tab w:leader="none" w:pos="8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8" w:lineRule="exact"/>
        <w:rPr>
          <w:rFonts w:ascii="Arial" w:cs="Arial" w:eastAsia="Arial" w:hAnsi="Arial"/>
          <w:sz w:val="14"/>
          <w:szCs w:val="14"/>
          <w:color w:val="auto"/>
        </w:rPr>
      </w:pPr>
    </w:p>
    <w:p>
      <w:pPr>
        <w:ind w:left="860" w:right="799" w:hanging="424"/>
        <w:spacing w:after="0" w:line="285" w:lineRule="auto"/>
        <w:tabs>
          <w:tab w:leader="none" w:pos="8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left="80"/>
        <w:spacing w:after="0"/>
        <w:tabs>
          <w:tab w:leader="none" w:pos="4580" w:val="left"/>
          <w:tab w:leader="none" w:pos="6280" w:val="left"/>
        </w:tabs>
        <w:rPr>
          <w:sz w:val="20"/>
          <w:szCs w:val="20"/>
          <w:color w:val="auto"/>
        </w:rPr>
      </w:pPr>
      <w:r>
        <w:rPr>
          <w:rFonts w:ascii="Arial" w:cs="Arial" w:eastAsia="Arial" w:hAnsi="Arial"/>
          <w:sz w:val="14"/>
          <w:szCs w:val="14"/>
          <w:color w:val="auto"/>
        </w:rPr>
        <w:t>Date: May 21,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17145</wp:posOffset>
            </wp:positionV>
            <wp:extent cx="25768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Benny Sørensen</w:t>
      </w:r>
    </w:p>
    <w:p>
      <w:pPr>
        <w:spacing w:after="0" w:line="1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i w:val="1"/>
          <w:iCs w:val="1"/>
          <w:color w:val="auto"/>
        </w:rPr>
        <w:t>(Principal Executive Officer)</w:t>
      </w:r>
    </w:p>
    <w:p>
      <w:pPr>
        <w:sectPr>
          <w:pgSz w:w="11900" w:h="16838" w:orient="portrait"/>
          <w:cols w:equalWidth="0" w:num="1">
            <w:col w:w="9019"/>
          </w:cols>
          <w:pgMar w:left="1440" w:top="125" w:right="1440" w:bottom="1440" w:gutter="0" w:footer="0" w:header="0"/>
        </w:sectPr>
      </w:pPr>
    </w:p>
    <w:bookmarkStart w:id="113" w:name="page114"/>
    <w:bookmarkEnd w:id="113"/>
    <w:p>
      <w:pPr>
        <w:jc w:val="right"/>
        <w:ind w:right="99"/>
        <w:spacing w:after="0"/>
        <w:rPr>
          <w:sz w:val="20"/>
          <w:szCs w:val="20"/>
          <w:color w:val="auto"/>
        </w:rPr>
      </w:pPr>
      <w:r>
        <w:rPr>
          <w:rFonts w:ascii="Arial" w:cs="Arial" w:eastAsia="Arial" w:hAnsi="Arial"/>
          <w:sz w:val="14"/>
          <w:szCs w:val="14"/>
          <w:b w:val="1"/>
          <w:bCs w:val="1"/>
          <w:color w:val="auto"/>
        </w:rPr>
        <w:t>Exhibit 32.2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w:t>
      </w:r>
    </w:p>
    <w:p>
      <w:pPr>
        <w:spacing w:after="0" w:line="15"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18 U.S.C. SECTION 1350, AS ADOPTED PURSUANT TO</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0" w:lineRule="exact"/>
        <w:rPr>
          <w:sz w:val="20"/>
          <w:szCs w:val="20"/>
          <w:color w:val="auto"/>
        </w:rPr>
      </w:pPr>
    </w:p>
    <w:p>
      <w:pPr>
        <w:ind w:left="80" w:right="139" w:firstLine="353"/>
        <w:spacing w:after="0" w:line="263" w:lineRule="auto"/>
        <w:rPr>
          <w:sz w:val="20"/>
          <w:szCs w:val="20"/>
          <w:color w:val="auto"/>
        </w:rPr>
      </w:pPr>
      <w:r>
        <w:rPr>
          <w:rFonts w:ascii="Arial" w:cs="Arial" w:eastAsia="Arial" w:hAnsi="Arial"/>
          <w:sz w:val="14"/>
          <w:szCs w:val="14"/>
          <w:color w:val="auto"/>
        </w:rPr>
        <w:t>In connection with the Quarterly Report of Hemab Therapeutics Holdings, Inc. (the “Company”) on Form 10-Q for the period ending March 31, 2026, as filed with the Securities and Exchange Commission on the date hereof (the “Report”), I certify, pursuant to 18 U.S.C. § 1350, as adopted pursuant to § 906 of the Sarbanes-Oxley Act of 2002, that:</w:t>
      </w:r>
    </w:p>
    <w:p>
      <w:pPr>
        <w:spacing w:after="0" w:line="55" w:lineRule="exact"/>
        <w:rPr>
          <w:sz w:val="20"/>
          <w:szCs w:val="20"/>
          <w:color w:val="auto"/>
        </w:rPr>
      </w:pPr>
    </w:p>
    <w:p>
      <w:pPr>
        <w:ind w:left="860" w:hanging="424"/>
        <w:spacing w:after="0"/>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98" w:lineRule="exact"/>
        <w:rPr>
          <w:rFonts w:ascii="Arial" w:cs="Arial" w:eastAsia="Arial" w:hAnsi="Arial"/>
          <w:sz w:val="14"/>
          <w:szCs w:val="14"/>
          <w:color w:val="auto"/>
        </w:rPr>
      </w:pPr>
    </w:p>
    <w:p>
      <w:pPr>
        <w:ind w:left="860" w:right="799" w:hanging="424"/>
        <w:spacing w:after="0" w:line="285" w:lineRule="auto"/>
        <w:tabs>
          <w:tab w:leader="none" w:pos="8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37" w:lineRule="exact"/>
        <w:rPr>
          <w:sz w:val="20"/>
          <w:szCs w:val="20"/>
          <w:color w:val="auto"/>
        </w:rPr>
      </w:pPr>
    </w:p>
    <w:p>
      <w:pPr>
        <w:ind w:left="80"/>
        <w:spacing w:after="0"/>
        <w:tabs>
          <w:tab w:leader="none" w:pos="4580" w:val="left"/>
          <w:tab w:leader="none" w:pos="6360" w:val="left"/>
        </w:tabs>
        <w:rPr>
          <w:sz w:val="20"/>
          <w:szCs w:val="20"/>
          <w:color w:val="auto"/>
        </w:rPr>
      </w:pPr>
      <w:r>
        <w:rPr>
          <w:rFonts w:ascii="Arial" w:cs="Arial" w:eastAsia="Arial" w:hAnsi="Arial"/>
          <w:sz w:val="14"/>
          <w:szCs w:val="14"/>
          <w:color w:val="auto"/>
        </w:rPr>
        <w:t>Date: May 21, 2026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Mads Behrndt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3086735</wp:posOffset>
            </wp:positionH>
            <wp:positionV relativeFrom="paragraph">
              <wp:posOffset>17145</wp:posOffset>
            </wp:positionV>
            <wp:extent cx="257683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2576830" cy="6985"/>
                    </a:xfrm>
                    <a:prstGeom prst="rect">
                      <a:avLst/>
                    </a:prstGeom>
                    <a:noFill/>
                  </pic:spPr>
                </pic:pic>
              </a:graphicData>
            </a:graphic>
          </wp:anchor>
        </w:drawing>
      </w:r>
    </w:p>
    <w:p>
      <w:pPr>
        <w:spacing w:after="0" w:line="14"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Mads Behrndt</w:t>
      </w:r>
    </w:p>
    <w:p>
      <w:pPr>
        <w:spacing w:after="0" w:line="15"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color w:val="auto"/>
        </w:rPr>
        <w:t>Chief Financial Officer and General Manager</w:t>
      </w:r>
    </w:p>
    <w:p>
      <w:pPr>
        <w:spacing w:after="0" w:line="1" w:lineRule="exact"/>
        <w:rPr>
          <w:sz w:val="20"/>
          <w:szCs w:val="20"/>
          <w:color w:val="auto"/>
        </w:rPr>
      </w:pPr>
    </w:p>
    <w:p>
      <w:pPr>
        <w:jc w:val="center"/>
        <w:ind w:left="4840"/>
        <w:spacing w:after="0"/>
        <w:rPr>
          <w:sz w:val="20"/>
          <w:szCs w:val="20"/>
          <w:color w:val="auto"/>
        </w:rPr>
      </w:pPr>
      <w:r>
        <w:rPr>
          <w:rFonts w:ascii="Arial" w:cs="Arial" w:eastAsia="Arial" w:hAnsi="Arial"/>
          <w:sz w:val="14"/>
          <w:szCs w:val="14"/>
          <w:b w:val="1"/>
          <w:bCs w:val="1"/>
          <w:i w:val="1"/>
          <w:iCs w:val="1"/>
          <w:color w:val="auto"/>
        </w:rPr>
        <w:t>(Principal Financial Officer)</w:t>
      </w:r>
    </w:p>
    <w:sectPr>
      <w:pgSz w:w="11900" w:h="16838" w:orient="portrait"/>
      <w:cols w:equalWidth="0" w:num="1">
        <w:col w:w="9019"/>
      </w:cols>
      <w:pgMar w:left="144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1."/>
      <w:numFmt w:val="decimal"/>
      <w:start w:val="8"/>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1."/>
      <w:numFmt w:val="decimal"/>
      <w:start w:val="9"/>
    </w:lvl>
  </w:abstractNum>
  <w:abstractNum w:abstractNumId="9">
    <w:nsid w:val="153EA438"/>
    <w:multiLevelType w:val="hybridMultilevel"/>
    <w:lvl w:ilvl="0">
      <w:lvlJc w:val="left"/>
      <w:lvlText w:val="(%1)"/>
      <w:numFmt w:val="lowerRoman"/>
      <w:start w:val="1"/>
    </w:lvl>
  </w:abstractNum>
  <w:abstractNum w:abstractNumId="10">
    <w:nsid w:val="3855585C"/>
    <w:multiLevelType w:val="hybridMultilevel"/>
    <w:lvl w:ilvl="0">
      <w:lvlJc w:val="left"/>
      <w:lvlText w:val="%1."/>
      <w:numFmt w:val="decimal"/>
      <w:start w:val="1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 "/>
      <w:numFmt w:val="bullet"/>
      <w:start w:val="1"/>
    </w:lvl>
  </w:abstractNum>
  <w:abstractNum w:abstractNumId="58">
    <w:nsid w:val="25A70BF7"/>
    <w:multiLevelType w:val="hybridMultilevel"/>
    <w:lvl w:ilvl="0">
      <w:lvlJc w:val="left"/>
      <w:lvlText w:val=" "/>
      <w:numFmt w:val="bullet"/>
      <w:start w:val="1"/>
    </w:lvl>
  </w:abstractNum>
  <w:abstractNum w:abstractNumId="59">
    <w:nsid w:val="1DBABF00"/>
    <w:multiLevelType w:val="hybridMultilevel"/>
    <w:lvl w:ilvl="0">
      <w:lvlJc w:val="left"/>
      <w:lvlText w:val="%1"/>
      <w:numFmt w:val="decimal"/>
      <w:start w:val="104"/>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lowerLetter"/>
      <w:start w:val="1"/>
    </w:lvl>
  </w:abstractNum>
  <w:abstractNum w:abstractNumId="64">
    <w:nsid w:val="100F8FCA"/>
    <w:multiLevelType w:val="hybridMultilevel"/>
    <w:lvl w:ilvl="0">
      <w:lvlJc w:val="left"/>
      <w:lvlText w:val="%1."/>
      <w:numFmt w:val="decimal"/>
      <w:start w:val="5"/>
    </w:lvl>
  </w:abstractNum>
  <w:abstractNum w:abstractNumId="65">
    <w:nsid w:val="6590700B"/>
    <w:multiLevelType w:val="hybridMultilevel"/>
    <w:lvl w:ilvl="0">
      <w:lvlJc w:val="left"/>
      <w:lvlText w:val="(%1)"/>
      <w:numFmt w:val="lowerLetter"/>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lowerLetter"/>
      <w:start w:val="1"/>
    </w:lvl>
  </w:abstractNum>
  <w:abstractNum w:abstractNumId="68">
    <w:nsid w:val="98A3148"/>
    <w:multiLevelType w:val="hybridMultilevel"/>
    <w:lvl w:ilvl="0">
      <w:lvlJc w:val="left"/>
      <w:lvlText w:val="%1."/>
      <w:numFmt w:val="decimal"/>
      <w:start w:val="5"/>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8"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25" Type="http://schemas.openxmlformats.org/officeDocument/2006/relationships/hyperlink" Target="http://www.sec.gov/Archives/edgar/data/2114044/000119312526151378/d50309dex21.htm" TargetMode="External"/><Relationship Id="rId126" Type="http://schemas.openxmlformats.org/officeDocument/2006/relationships/hyperlink" Target="http://www.sec.gov/Archives/edgar/data/2114044/000119312526203988/d149100dex31.htm" TargetMode="External"/><Relationship Id="rId127" Type="http://schemas.openxmlformats.org/officeDocument/2006/relationships/hyperlink" Target="http://www.sec.gov/Archives/edgar/data/2114044/000119312526203988/d149100dex32.htm" TargetMode="External"/><Relationship Id="rId128" Type="http://schemas.openxmlformats.org/officeDocument/2006/relationships/hyperlink" Target="http://www.sec.gov/Archives/edgar/data/2114044/000119312526151378/d50309dex43.htm" TargetMode="External"/><Relationship Id="rId129" Type="http://schemas.openxmlformats.org/officeDocument/2006/relationships/hyperlink" Target="http://www.sec.gov/Archives/edgar/data/2114044/000119312526178809/d50309dex41.htm" TargetMode="External"/><Relationship Id="rId130" Type="http://schemas.openxmlformats.org/officeDocument/2006/relationships/hyperlink" Target="http://www.sec.gov/Archives/edgar/data/2114044/000119312526151378/d50309dex42.htm" TargetMode="External"/><Relationship Id="rId131" Type="http://schemas.openxmlformats.org/officeDocument/2006/relationships/hyperlink" Target="http://www.sec.gov/Archives/edgar/data/2114044/000119312526178809/d50309dex101.htm" TargetMode="External"/><Relationship Id="rId132" Type="http://schemas.openxmlformats.org/officeDocument/2006/relationships/hyperlink" Target="http://www.sec.gov/Archives/edgar/data/2114044/000119312526178809/d50309dex102.htm" TargetMode="External"/><Relationship Id="rId133" Type="http://schemas.openxmlformats.org/officeDocument/2006/relationships/hyperlink" Target="http://www.sec.gov/Archives/edgar/data/2114044/000119312526178809/d50309dex103.htm" TargetMode="External"/><Relationship Id="rId134" Type="http://schemas.openxmlformats.org/officeDocument/2006/relationships/hyperlink" Target="http://www.sec.gov/Archives/edgar/data/2114044/000119312526178809/d50309dex106.htm" TargetMode="External"/><Relationship Id="rId135" Type="http://schemas.openxmlformats.org/officeDocument/2006/relationships/hyperlink" Target="http://www.sec.gov/Archives/edgar/data/2114044/000119312526178809/d50309dex107.htm" TargetMode="External"/><Relationship Id="rId136" Type="http://schemas.openxmlformats.org/officeDocument/2006/relationships/hyperlink" Target="http://www.sec.gov/Archives/edgar/data/2114044/000119312526178809/d50309dex108.htm" TargetMode="External"/><Relationship Id="rId137" Type="http://schemas.openxmlformats.org/officeDocument/2006/relationships/hyperlink" Target="http://www.sec.gov/Archives/edgar/data/2114044/000119312526178809/d50309dex109.htm" TargetMode="External"/><Relationship Id="rId139" Type="http://schemas.openxmlformats.org/officeDocument/2006/relationships/hyperlink" Target="http://www.sec.gov/Archives/edgar/data/2114044/000119312526178809/d50309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2026-05-21T15:07:57Z</dcterms:created>
  <dcterms:modified xsi:type="dcterms:W3CDTF">2026-05-21T15:07:57Z</dcterms:modified>
</cp:coreProperties>
</file>